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160"/>
      </w:pPr>
      <w:r>
        <w:rPr>
          <w:rFonts w:ascii="Arial" w:hAnsi="Arial" w:cs="Arial" w:eastAsia="Arial"/>
          <w:b/>
          <w:bCs/>
          <w:color w:val="CC1923"/>
          <w:sz w:val="16"/>
          <w:szCs w:val="16"/>
        </w:rPr>
        <w:t>OWNER CHECKLIST · KSA · UAE · EGYPT</w:t>
      </w:r>
    </w:p>
    <w:p>
      <w:pPr>
        <w:spacing w:after="40"/>
      </w:pPr>
      <w:r>
        <w:rPr>
          <w:rFonts w:ascii="Arial" w:hAnsi="Arial" w:cs="Arial" w:eastAsia="Arial"/>
          <w:b/>
          <w:bCs/>
          <w:color w:val="111111"/>
          <w:sz w:val="44"/>
          <w:szCs w:val="44"/>
        </w:rPr>
        <w:t>Data Protection for Your Finance Function</w:t>
      </w:r>
    </w:p>
    <w:p>
      <w:pPr>
        <w:pBdr>
          <w:bottom w:val="single" w:sz="12" w:space="6" w:color="CC1923"/>
        </w:pBdr>
        <w:spacing w:after="160"/>
      </w:pPr>
      <w:r>
        <w:rPr>
          <w:rFonts w:ascii="Arial" w:hAnsi="Arial" w:cs="Arial" w:eastAsia="Arial"/>
          <w:color w:val="555555"/>
          <w:sz w:val="22"/>
          <w:szCs w:val="22"/>
        </w:rPr>
        <w:t>A practical checklist for owners: what personal data finance holds, who can see it, how long you keep it, what to demand from vendors, and what to do in a breach.</w:t>
      </w:r>
    </w:p>
    <w:tbl>
      <w:tblPr>
        <w:tblW w:type="dxa" w:w="9753"/>
        <w:jc w:val="center"/>
        <w:tblLayout w:type="fixed"/>
        <w:tblCellMar>
          <w:top w:w="100" w:type="dxa"/>
          <w:left w:w="160" w:type="dxa"/>
          <w:bottom w:w="100" w:type="dxa"/>
          <w:right w:w="140" w:type="dxa"/>
        </w:tblCellMar>
        <w:tblLook w:firstColumn="1" w:firstRow="1" w:lastColumn="0" w:lastRow="0" w:noHBand="0" w:noVBand="1" w:val="04A0"/>
      </w:tblPr>
      <w:tblGrid>
        <w:gridCol w:w="9753"/>
      </w:tblGrid>
      <w:tr>
        <w:tc>
          <w:tcPr>
            <w:tcW w:type="dxa" w:w="9752"/>
            <w:tcBorders>
              <w:top w:val="nil"/>
              <w:left w:val="single" w:sz="24" w:space="0" w:color="CC1923"/>
              <w:bottom w:val="nil"/>
              <w:right w:val="nil"/>
            </w:tcBorders>
            <w:shd w:val="clear" w:color="auto" w:fill="F4F4F4"/>
          </w:tcPr>
          <w:p>
            <w:pPr>
              <w:spacing w:after="0"/>
            </w:pPr>
            <w:r>
              <w:rPr>
                <w:rFonts w:ascii="Arial" w:hAnsi="Arial" w:cs="Arial" w:eastAsia="Arial"/>
                <w:b/>
                <w:bCs/>
                <w:color w:val="CC1923"/>
                <w:sz w:val="19"/>
                <w:szCs w:val="19"/>
              </w:rPr>
              <w:t xml:space="preserve">Not legal advice. </w:t>
            </w:r>
            <w:r>
              <w:rPr>
                <w:rFonts w:ascii="Arial" w:hAnsi="Arial" w:cs="Arial" w:eastAsia="Arial"/>
                <w:color w:val="111111"/>
                <w:sz w:val="19"/>
                <w:szCs w:val="19"/>
              </w:rPr>
              <w:t>This checklist is general operational guidance. Laws and regulations change, and how they apply depends on your facts. Before relying on it, confirm the current rules with the regulator and a lawyer licensed in your country. Legal references were checked against official or primary sources on 4 November 2026 (see Sources, last page).</w:t>
            </w:r>
          </w:p>
        </w:tc>
      </w:tr>
    </w:tbl>
    <w:p>
      <w:pPr>
        <w:spacing w:after="0" w:before="0" w:line="80" w:lineRule="exact"/>
      </w:pPr>
      <w:r>
        <w:rPr>
          <w:rFonts w:ascii="Arial" w:hAnsi="Arial" w:cs="Arial" w:eastAsia="Arial"/>
          <w:sz w:val="8"/>
          <w:szCs w:val="8"/>
        </w:rPr>
      </w:r>
    </w:p>
    <w:p>
      <w:pPr>
        <w:pStyle w:val="Heading2"/>
      </w:pPr>
      <w:r>
        <w:t>How to use this checklist (about 60 minutes)</w:t>
      </w:r>
    </w:p>
    <w:tbl>
      <w:tblPr>
        <w:tblW w:type="dxa" w:w="9752"/>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60" w:type="dxa"/>
          <w:left w:w="90" w:type="dxa"/>
          <w:bottom w:w="60" w:type="dxa"/>
          <w:right w:w="90" w:type="dxa"/>
        </w:tblCellMar>
        <w:tblLook w:firstColumn="1" w:firstRow="1" w:lastColumn="0" w:lastRow="0" w:noHBand="0" w:noVBand="1" w:val="04A0"/>
      </w:tblPr>
      <w:tblGrid>
        <w:gridCol w:w="680"/>
        <w:gridCol w:w="7087"/>
        <w:gridCol w:w="1984"/>
      </w:tblGrid>
      <w:tr>
        <w:trPr>
          <w:cantSplit/>
          <w:tblHeader/>
        </w:trPr>
        <w:tc>
          <w:tcPr>
            <w:tcW w:type="dxa" w:w="680"/>
            <w:shd w:val="clear" w:color="auto" w:fill="111111"/>
          </w:tcPr>
          <w:p>
            <w:pPr>
              <w:spacing w:after="0"/>
              <w:jc w:val="center"/>
            </w:pPr>
            <w:r>
              <w:rPr>
                <w:rFonts w:ascii="Arial" w:hAnsi="Arial" w:cs="Arial" w:eastAsia="Arial"/>
                <w:b/>
                <w:bCs/>
                <w:color w:val="FFFFFF"/>
                <w:sz w:val="18"/>
                <w:szCs w:val="18"/>
              </w:rPr>
              <w:t>Step</w:t>
            </w:r>
          </w:p>
        </w:tc>
        <w:tc>
          <w:tcPr>
            <w:tcW w:type="dxa" w:w="7087"/>
            <w:shd w:val="clear" w:color="auto" w:fill="111111"/>
          </w:tcPr>
          <w:p>
            <w:pPr>
              <w:spacing w:after="0"/>
            </w:pPr>
            <w:r>
              <w:rPr>
                <w:rFonts w:ascii="Arial" w:hAnsi="Arial" w:cs="Arial" w:eastAsia="Arial"/>
                <w:b/>
                <w:bCs/>
                <w:color w:val="FFFFFF"/>
                <w:sz w:val="18"/>
                <w:szCs w:val="18"/>
              </w:rPr>
              <w:t>What to do</w:t>
            </w:r>
          </w:p>
        </w:tc>
        <w:tc>
          <w:tcPr>
            <w:tcW w:type="dxa" w:w="1984"/>
            <w:shd w:val="clear" w:color="auto" w:fill="111111"/>
          </w:tcPr>
          <w:p>
            <w:pPr>
              <w:spacing w:after="0"/>
            </w:pPr>
            <w:r>
              <w:rPr>
                <w:rFonts w:ascii="Arial" w:hAnsi="Arial" w:cs="Arial" w:eastAsia="Arial"/>
                <w:b/>
                <w:bCs/>
                <w:color w:val="FFFFFF"/>
                <w:sz w:val="18"/>
                <w:szCs w:val="18"/>
              </w:rPr>
              <w:t>Where</w:t>
            </w:r>
          </w:p>
        </w:tc>
      </w:tr>
      <w:tr>
        <w:trPr>
          <w:cantSplit/>
        </w:trPr>
        <w:tc>
          <w:tcPr>
            <w:tcW w:type="dxa" w:w="680"/>
          </w:tcPr>
          <w:p>
            <w:pPr>
              <w:spacing w:after="0"/>
              <w:jc w:val="center"/>
            </w:pPr>
            <w:r>
              <w:rPr>
                <w:rFonts w:ascii="Arial" w:hAnsi="Arial" w:cs="Arial" w:eastAsia="Arial"/>
                <w:b w:val="0"/>
                <w:color w:val="111111"/>
                <w:sz w:val="18"/>
                <w:szCs w:val="18"/>
              </w:rPr>
              <w:t>1</w:t>
            </w:r>
          </w:p>
        </w:tc>
        <w:tc>
          <w:tcPr>
            <w:tcW w:type="dxa" w:w="7087"/>
          </w:tcPr>
          <w:p>
            <w:pPr>
              <w:spacing w:after="0"/>
            </w:pPr>
            <w:r>
              <w:rPr>
                <w:rFonts w:ascii="Arial" w:hAnsi="Arial" w:cs="Arial" w:eastAsia="Arial"/>
                <w:b w:val="0"/>
                <w:color w:val="111111"/>
                <w:sz w:val="18"/>
                <w:szCs w:val="18"/>
              </w:rPr>
              <w:t>Confirm which data protection law(s) apply to you.</w:t>
            </w:r>
          </w:p>
        </w:tc>
        <w:tc>
          <w:tcPr>
            <w:tcW w:type="dxa" w:w="1984"/>
          </w:tcPr>
          <w:p>
            <w:pPr>
              <w:spacing w:after="0"/>
            </w:pPr>
            <w:r>
              <w:rPr>
                <w:rFonts w:ascii="Arial" w:hAnsi="Arial" w:cs="Arial" w:eastAsia="Arial"/>
                <w:b w:val="0"/>
                <w:color w:val="111111"/>
                <w:sz w:val="18"/>
                <w:szCs w:val="18"/>
              </w:rPr>
              <w:t>Section 1</w:t>
            </w:r>
          </w:p>
        </w:tc>
      </w:tr>
      <w:tr>
        <w:trPr>
          <w:cantSplit/>
        </w:trPr>
        <w:tc>
          <w:tcPr>
            <w:tcW w:type="dxa" w:w="680"/>
            <w:shd w:val="clear" w:color="auto" w:fill="F4F4F4"/>
          </w:tcPr>
          <w:p>
            <w:pPr>
              <w:spacing w:after="0"/>
              <w:jc w:val="center"/>
            </w:pPr>
            <w:r>
              <w:rPr>
                <w:rFonts w:ascii="Arial" w:hAnsi="Arial" w:cs="Arial" w:eastAsia="Arial"/>
                <w:b w:val="0"/>
                <w:color w:val="111111"/>
                <w:sz w:val="18"/>
                <w:szCs w:val="18"/>
              </w:rPr>
              <w:t>2</w:t>
            </w:r>
          </w:p>
        </w:tc>
        <w:tc>
          <w:tcPr>
            <w:tcW w:type="dxa" w:w="7087"/>
            <w:shd w:val="clear" w:color="auto" w:fill="F4F4F4"/>
          </w:tcPr>
          <w:p>
            <w:pPr>
              <w:spacing w:after="0"/>
            </w:pPr>
            <w:r>
              <w:rPr>
                <w:rFonts w:ascii="Arial" w:hAnsi="Arial" w:cs="Arial" w:eastAsia="Arial"/>
                <w:b w:val="0"/>
                <w:color w:val="111111"/>
                <w:sz w:val="18"/>
                <w:szCs w:val="18"/>
              </w:rPr>
              <w:t>List the personal data your finance team holds and where it sits.</w:t>
            </w:r>
          </w:p>
        </w:tc>
        <w:tc>
          <w:tcPr>
            <w:tcW w:type="dxa" w:w="1984"/>
            <w:shd w:val="clear" w:color="auto" w:fill="F4F4F4"/>
          </w:tcPr>
          <w:p>
            <w:pPr>
              <w:spacing w:after="0"/>
            </w:pPr>
            <w:r>
              <w:rPr>
                <w:rFonts w:ascii="Arial" w:hAnsi="Arial" w:cs="Arial" w:eastAsia="Arial"/>
                <w:b w:val="0"/>
                <w:color w:val="111111"/>
                <w:sz w:val="18"/>
                <w:szCs w:val="18"/>
              </w:rPr>
              <w:t>Section 2</w:t>
            </w:r>
          </w:p>
        </w:tc>
      </w:tr>
      <w:tr>
        <w:trPr>
          <w:cantSplit/>
        </w:trPr>
        <w:tc>
          <w:tcPr>
            <w:tcW w:type="dxa" w:w="680"/>
          </w:tcPr>
          <w:p>
            <w:pPr>
              <w:spacing w:after="0"/>
              <w:jc w:val="center"/>
            </w:pPr>
            <w:r>
              <w:rPr>
                <w:rFonts w:ascii="Arial" w:hAnsi="Arial" w:cs="Arial" w:eastAsia="Arial"/>
                <w:b w:val="0"/>
                <w:color w:val="111111"/>
                <w:sz w:val="18"/>
                <w:szCs w:val="18"/>
              </w:rPr>
              <w:t>3</w:t>
            </w:r>
          </w:p>
        </w:tc>
        <w:tc>
          <w:tcPr>
            <w:tcW w:type="dxa" w:w="7087"/>
          </w:tcPr>
          <w:p>
            <w:pPr>
              <w:spacing w:after="0"/>
            </w:pPr>
            <w:r>
              <w:rPr>
                <w:rFonts w:ascii="Arial" w:hAnsi="Arial" w:cs="Arial" w:eastAsia="Arial"/>
                <w:b w:val="0"/>
                <w:color w:val="111111"/>
                <w:sz w:val="18"/>
                <w:szCs w:val="18"/>
              </w:rPr>
              <w:t>Tick the access, retention and vendor controls you already have. Every empty box is an action.</w:t>
            </w:r>
          </w:p>
        </w:tc>
        <w:tc>
          <w:tcPr>
            <w:tcW w:type="dxa" w:w="1984"/>
          </w:tcPr>
          <w:p>
            <w:pPr>
              <w:spacing w:after="0"/>
            </w:pPr>
            <w:r>
              <w:rPr>
                <w:rFonts w:ascii="Arial" w:hAnsi="Arial" w:cs="Arial" w:eastAsia="Arial"/>
                <w:b w:val="0"/>
                <w:color w:val="111111"/>
                <w:sz w:val="18"/>
                <w:szCs w:val="18"/>
              </w:rPr>
              <w:t>Sections 3–5</w:t>
            </w:r>
          </w:p>
        </w:tc>
      </w:tr>
      <w:tr>
        <w:trPr>
          <w:cantSplit/>
        </w:trPr>
        <w:tc>
          <w:tcPr>
            <w:tcW w:type="dxa" w:w="680"/>
            <w:shd w:val="clear" w:color="auto" w:fill="F4F4F4"/>
          </w:tcPr>
          <w:p>
            <w:pPr>
              <w:spacing w:after="0"/>
              <w:jc w:val="center"/>
            </w:pPr>
            <w:r>
              <w:rPr>
                <w:rFonts w:ascii="Arial" w:hAnsi="Arial" w:cs="Arial" w:eastAsia="Arial"/>
                <w:b w:val="0"/>
                <w:color w:val="111111"/>
                <w:sz w:val="18"/>
                <w:szCs w:val="18"/>
              </w:rPr>
              <w:t>4</w:t>
            </w:r>
          </w:p>
        </w:tc>
        <w:tc>
          <w:tcPr>
            <w:tcW w:type="dxa" w:w="7087"/>
            <w:shd w:val="clear" w:color="auto" w:fill="F4F4F4"/>
          </w:tcPr>
          <w:p>
            <w:pPr>
              <w:spacing w:after="0"/>
            </w:pPr>
            <w:r>
              <w:rPr>
                <w:rFonts w:ascii="Arial" w:hAnsi="Arial" w:cs="Arial" w:eastAsia="Arial"/>
                <w:b w:val="0"/>
                <w:color w:val="111111"/>
                <w:sz w:val="18"/>
                <w:szCs w:val="18"/>
              </w:rPr>
              <w:t>Fill in the breach contact sheet and keep it where two people can find it.</w:t>
            </w:r>
          </w:p>
        </w:tc>
        <w:tc>
          <w:tcPr>
            <w:tcW w:type="dxa" w:w="1984"/>
            <w:shd w:val="clear" w:color="auto" w:fill="F4F4F4"/>
          </w:tcPr>
          <w:p>
            <w:pPr>
              <w:spacing w:after="0"/>
            </w:pPr>
            <w:r>
              <w:rPr>
                <w:rFonts w:ascii="Arial" w:hAnsi="Arial" w:cs="Arial" w:eastAsia="Arial"/>
                <w:b w:val="0"/>
                <w:color w:val="111111"/>
                <w:sz w:val="18"/>
                <w:szCs w:val="18"/>
              </w:rPr>
              <w:t>Section 6</w:t>
            </w:r>
          </w:p>
        </w:tc>
      </w:tr>
      <w:tr>
        <w:trPr>
          <w:cantSplit/>
        </w:trPr>
        <w:tc>
          <w:tcPr>
            <w:tcW w:type="dxa" w:w="680"/>
          </w:tcPr>
          <w:p>
            <w:pPr>
              <w:spacing w:after="0"/>
              <w:jc w:val="center"/>
            </w:pPr>
            <w:r>
              <w:rPr>
                <w:rFonts w:ascii="Arial" w:hAnsi="Arial" w:cs="Arial" w:eastAsia="Arial"/>
                <w:b w:val="0"/>
                <w:color w:val="111111"/>
                <w:sz w:val="18"/>
                <w:szCs w:val="18"/>
              </w:rPr>
              <w:t>5</w:t>
            </w:r>
          </w:p>
        </w:tc>
        <w:tc>
          <w:tcPr>
            <w:tcW w:type="dxa" w:w="7087"/>
          </w:tcPr>
          <w:p>
            <w:pPr>
              <w:spacing w:after="0"/>
            </w:pPr>
            <w:r>
              <w:rPr>
                <w:rFonts w:ascii="Arial" w:hAnsi="Arial" w:cs="Arial" w:eastAsia="Arial"/>
                <w:b w:val="0"/>
                <w:color w:val="111111"/>
                <w:sz w:val="18"/>
                <w:szCs w:val="18"/>
              </w:rPr>
              <w:t>Review once a year, and whenever you change accounting system, payroll provider or outsourced accountant.</w:t>
            </w:r>
          </w:p>
        </w:tc>
        <w:tc>
          <w:tcPr>
            <w:tcW w:type="dxa" w:w="1984"/>
          </w:tcPr>
          <w:p>
            <w:pPr>
              <w:spacing w:after="0"/>
            </w:pPr>
            <w:r>
              <w:rPr>
                <w:rFonts w:ascii="Arial" w:hAnsi="Arial" w:cs="Arial" w:eastAsia="Arial"/>
                <w:b w:val="0"/>
                <w:color w:val="111111"/>
                <w:sz w:val="18"/>
                <w:szCs w:val="18"/>
              </w:rPr>
              <w:t>—</w:t>
            </w:r>
          </w:p>
        </w:tc>
      </w:tr>
    </w:tbl>
    <w:p>
      <w:pPr>
        <w:spacing w:after="0" w:before="0" w:line="120" w:lineRule="exact"/>
      </w:pPr>
      <w:r>
        <w:rPr>
          <w:rFonts w:ascii="Arial" w:hAnsi="Arial" w:cs="Arial" w:eastAsia="Arial"/>
          <w:sz w:val="12"/>
          <w:szCs w:val="12"/>
        </w:rPr>
      </w:r>
    </w:p>
    <w:p>
      <w:pPr>
        <w:pStyle w:val="Heading1"/>
      </w:pPr>
      <w:r>
        <w:t>1. Which law applies to you?</w:t>
      </w:r>
    </w:p>
    <w:p>
      <w:pPr>
        <w:spacing w:after="80"/>
      </w:pPr>
      <w:r>
        <w:rPr>
          <w:rFonts w:ascii="Arial" w:hAnsi="Arial" w:cs="Arial" w:eastAsia="Arial"/>
          <w:i w:val="0"/>
          <w:color w:val="111111"/>
          <w:sz w:val="20"/>
          <w:szCs w:val="20"/>
        </w:rPr>
        <w:t>Each law applies to personal data about individuals (employees, customers who are individuals, sole-trader suppliers, guarantors). It does not cover purely company data, but a finance function holds a lot of personal data. If you operate in more than one country, more than one law can apply.</w:t>
      </w:r>
    </w:p>
    <w:tbl>
      <w:tblPr>
        <w:tblW w:type="dxa" w:w="9752"/>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60" w:type="dxa"/>
          <w:left w:w="90" w:type="dxa"/>
          <w:bottom w:w="60" w:type="dxa"/>
          <w:right w:w="90" w:type="dxa"/>
        </w:tblCellMar>
        <w:tblLook w:firstColumn="1" w:firstRow="1" w:lastColumn="0" w:lastRow="0" w:noHBand="0" w:noVBand="1" w:val="04A0"/>
      </w:tblPr>
      <w:tblGrid>
        <w:gridCol w:w="1701"/>
        <w:gridCol w:w="2778"/>
        <w:gridCol w:w="2494"/>
        <w:gridCol w:w="2778"/>
      </w:tblGrid>
      <w:tr>
        <w:trPr>
          <w:cantSplit/>
          <w:tblHeader/>
        </w:trPr>
        <w:tc>
          <w:tcPr>
            <w:tcW w:type="dxa" w:w="1701"/>
            <w:shd w:val="clear" w:color="auto" w:fill="111111"/>
          </w:tcPr>
          <w:p>
            <w:pPr>
              <w:spacing w:after="0"/>
            </w:pPr>
            <w:r>
              <w:rPr>
                <w:rFonts w:ascii="Arial" w:hAnsi="Arial" w:cs="Arial" w:eastAsia="Arial"/>
                <w:b/>
                <w:bCs/>
                <w:color w:val="FFFFFF"/>
                <w:sz w:val="16"/>
                <w:szCs w:val="16"/>
              </w:rPr>
            </w:r>
          </w:p>
        </w:tc>
        <w:tc>
          <w:tcPr>
            <w:tcW w:type="dxa" w:w="2778"/>
            <w:shd w:val="clear" w:color="auto" w:fill="111111"/>
          </w:tcPr>
          <w:p>
            <w:pPr>
              <w:spacing w:after="0"/>
            </w:pPr>
            <w:r>
              <w:rPr>
                <w:rFonts w:ascii="Arial" w:hAnsi="Arial" w:cs="Arial" w:eastAsia="Arial"/>
                <w:b/>
                <w:bCs/>
                <w:color w:val="FFFFFF"/>
                <w:sz w:val="16"/>
                <w:szCs w:val="16"/>
              </w:rPr>
              <w:t>Saudi Arabia</w:t>
            </w:r>
          </w:p>
        </w:tc>
        <w:tc>
          <w:tcPr>
            <w:tcW w:type="dxa" w:w="2494"/>
            <w:shd w:val="clear" w:color="auto" w:fill="111111"/>
          </w:tcPr>
          <w:p>
            <w:pPr>
              <w:spacing w:after="0"/>
            </w:pPr>
            <w:r>
              <w:rPr>
                <w:rFonts w:ascii="Arial" w:hAnsi="Arial" w:cs="Arial" w:eastAsia="Arial"/>
                <w:b/>
                <w:bCs/>
                <w:color w:val="FFFFFF"/>
                <w:sz w:val="16"/>
                <w:szCs w:val="16"/>
              </w:rPr>
              <w:t>UAE (federal)</w:t>
            </w:r>
          </w:p>
        </w:tc>
        <w:tc>
          <w:tcPr>
            <w:tcW w:type="dxa" w:w="2778"/>
            <w:shd w:val="clear" w:color="auto" w:fill="111111"/>
          </w:tcPr>
          <w:p>
            <w:pPr>
              <w:spacing w:after="0"/>
            </w:pPr>
            <w:r>
              <w:rPr>
                <w:rFonts w:ascii="Arial" w:hAnsi="Arial" w:cs="Arial" w:eastAsia="Arial"/>
                <w:b/>
                <w:bCs/>
                <w:color w:val="FFFFFF"/>
                <w:sz w:val="16"/>
                <w:szCs w:val="16"/>
              </w:rPr>
              <w:t>Egypt</w:t>
            </w:r>
          </w:p>
        </w:tc>
      </w:tr>
      <w:tr>
        <w:trPr>
          <w:cantSplit/>
        </w:trPr>
        <w:tc>
          <w:tcPr>
            <w:tcW w:type="dxa" w:w="1701"/>
          </w:tcPr>
          <w:p>
            <w:pPr>
              <w:spacing w:after="0"/>
            </w:pPr>
            <w:r>
              <w:rPr>
                <w:rFonts w:ascii="Arial" w:hAnsi="Arial" w:cs="Arial" w:eastAsia="Arial"/>
                <w:b/>
                <w:bCs/>
                <w:color w:val="111111"/>
                <w:sz w:val="16"/>
                <w:szCs w:val="16"/>
              </w:rPr>
              <w:t>Law</w:t>
            </w:r>
          </w:p>
        </w:tc>
        <w:tc>
          <w:tcPr>
            <w:tcW w:type="dxa" w:w="2778"/>
          </w:tcPr>
          <w:p>
            <w:pPr>
              <w:spacing w:after="0"/>
            </w:pPr>
            <w:r>
              <w:rPr>
                <w:rFonts w:ascii="Arial" w:hAnsi="Arial" w:cs="Arial" w:eastAsia="Arial"/>
                <w:b w:val="0"/>
                <w:color w:val="111111"/>
                <w:sz w:val="16"/>
                <w:szCs w:val="16"/>
              </w:rPr>
              <w:t>Personal Data Protection Law (PDPL), Royal Decree M/19 (9/2/1443H), amended by Royal Decree M/148 (5/9/1444H), plus its Implementing Regulation.</w:t>
            </w:r>
          </w:p>
        </w:tc>
        <w:tc>
          <w:tcPr>
            <w:tcW w:type="dxa" w:w="2494"/>
          </w:tcPr>
          <w:p>
            <w:pPr>
              <w:spacing w:after="0"/>
            </w:pPr>
            <w:r>
              <w:rPr>
                <w:rFonts w:ascii="Arial" w:hAnsi="Arial" w:cs="Arial" w:eastAsia="Arial"/>
                <w:b w:val="0"/>
                <w:color w:val="111111"/>
                <w:sz w:val="16"/>
                <w:szCs w:val="16"/>
              </w:rPr>
              <w:t>Federal Decree-Law No. 45 of 2021 on the Protection of Personal Data. Issued 20 Sep 2021; in force 2 Jan 2022.</w:t>
            </w:r>
          </w:p>
        </w:tc>
        <w:tc>
          <w:tcPr>
            <w:tcW w:type="dxa" w:w="2778"/>
          </w:tcPr>
          <w:p>
            <w:pPr>
              <w:spacing w:after="0"/>
            </w:pPr>
            <w:r>
              <w:rPr>
                <w:rFonts w:ascii="Arial" w:hAnsi="Arial" w:cs="Arial" w:eastAsia="Arial"/>
                <w:b w:val="0"/>
                <w:color w:val="111111"/>
                <w:sz w:val="16"/>
                <w:szCs w:val="16"/>
              </w:rPr>
              <w:t>Personal Data Protection Law No. 151 of 2020, plus Executive Regulations issued by Ministerial Decree No. 816 of 2025 (Official Gazette, 1 Nov 2025).</w:t>
            </w:r>
          </w:p>
        </w:tc>
      </w:tr>
      <w:tr>
        <w:trPr>
          <w:cantSplit/>
        </w:trPr>
        <w:tc>
          <w:tcPr>
            <w:tcW w:type="dxa" w:w="1701"/>
            <w:shd w:val="clear" w:color="auto" w:fill="F4F4F4"/>
          </w:tcPr>
          <w:p>
            <w:pPr>
              <w:spacing w:after="0"/>
            </w:pPr>
            <w:r>
              <w:rPr>
                <w:rFonts w:ascii="Arial" w:hAnsi="Arial" w:cs="Arial" w:eastAsia="Arial"/>
                <w:b/>
                <w:bCs/>
                <w:color w:val="111111"/>
                <w:sz w:val="16"/>
                <w:szCs w:val="16"/>
              </w:rPr>
              <w:t>Regulator</w:t>
            </w:r>
          </w:p>
        </w:tc>
        <w:tc>
          <w:tcPr>
            <w:tcW w:type="dxa" w:w="2778"/>
            <w:shd w:val="clear" w:color="auto" w:fill="F4F4F4"/>
          </w:tcPr>
          <w:p>
            <w:pPr>
              <w:spacing w:after="0"/>
            </w:pPr>
            <w:r>
              <w:rPr>
                <w:rFonts w:ascii="Arial" w:hAnsi="Arial" w:cs="Arial" w:eastAsia="Arial"/>
                <w:b w:val="0"/>
                <w:color w:val="111111"/>
                <w:sz w:val="16"/>
                <w:szCs w:val="16"/>
              </w:rPr>
              <w:t>Saudi Data &amp; AI Authority (SDAIA).</w:t>
            </w:r>
          </w:p>
        </w:tc>
        <w:tc>
          <w:tcPr>
            <w:tcW w:type="dxa" w:w="2494"/>
            <w:shd w:val="clear" w:color="auto" w:fill="F4F4F4"/>
          </w:tcPr>
          <w:p>
            <w:pPr>
              <w:spacing w:after="0"/>
            </w:pPr>
            <w:r>
              <w:rPr>
                <w:rFonts w:ascii="Arial" w:hAnsi="Arial" w:cs="Arial" w:eastAsia="Arial"/>
                <w:b w:val="0"/>
                <w:color w:val="111111"/>
                <w:sz w:val="16"/>
                <w:szCs w:val="16"/>
              </w:rPr>
              <w:t>The federal data regulator named in the law (UAE Data Office). Check u.ae for the current authority.</w:t>
            </w:r>
          </w:p>
        </w:tc>
        <w:tc>
          <w:tcPr>
            <w:tcW w:type="dxa" w:w="2778"/>
            <w:shd w:val="clear" w:color="auto" w:fill="F4F4F4"/>
          </w:tcPr>
          <w:p>
            <w:pPr>
              <w:spacing w:after="0"/>
            </w:pPr>
            <w:r>
              <w:rPr>
                <w:rFonts w:ascii="Arial" w:hAnsi="Arial" w:cs="Arial" w:eastAsia="Arial"/>
                <w:b w:val="0"/>
                <w:color w:val="111111"/>
                <w:sz w:val="16"/>
                <w:szCs w:val="16"/>
              </w:rPr>
              <w:t>Personal Data Protection Center (PDPC).</w:t>
            </w:r>
          </w:p>
        </w:tc>
      </w:tr>
      <w:tr>
        <w:trPr>
          <w:cantSplit/>
        </w:trPr>
        <w:tc>
          <w:tcPr>
            <w:tcW w:type="dxa" w:w="1701"/>
          </w:tcPr>
          <w:p>
            <w:pPr>
              <w:spacing w:after="0"/>
            </w:pPr>
            <w:r>
              <w:rPr>
                <w:rFonts w:ascii="Arial" w:hAnsi="Arial" w:cs="Arial" w:eastAsia="Arial"/>
                <w:b/>
                <w:bCs/>
                <w:color w:val="111111"/>
                <w:sz w:val="16"/>
                <w:szCs w:val="16"/>
              </w:rPr>
              <w:t>Breach: who tells the regulator, and when</w:t>
            </w:r>
          </w:p>
        </w:tc>
        <w:tc>
          <w:tcPr>
            <w:tcW w:type="dxa" w:w="2778"/>
          </w:tcPr>
          <w:p>
            <w:pPr>
              <w:spacing w:after="0"/>
            </w:pPr>
            <w:r>
              <w:rPr>
                <w:rFonts w:ascii="Arial" w:hAnsi="Arial" w:cs="Arial" w:eastAsia="Arial"/>
                <w:b w:val="0"/>
                <w:color w:val="111111"/>
                <w:sz w:val="16"/>
                <w:szCs w:val="16"/>
              </w:rPr>
              <w:t>Controller notifies SDAIA within 72 hours of becoming aware, where the breach may harm the data or the individuals (Implementing Reg. Art. 24).</w:t>
            </w:r>
          </w:p>
        </w:tc>
        <w:tc>
          <w:tcPr>
            <w:tcW w:type="dxa" w:w="2494"/>
          </w:tcPr>
          <w:p>
            <w:pPr>
              <w:spacing w:after="0"/>
            </w:pPr>
            <w:r>
              <w:rPr>
                <w:rFonts w:ascii="Arial" w:hAnsi="Arial" w:cs="Arial" w:eastAsia="Arial"/>
                <w:b w:val="0"/>
                <w:color w:val="111111"/>
                <w:sz w:val="16"/>
                <w:szCs w:val="16"/>
              </w:rPr>
              <w:t>Controller notifies the regulator on becoming aware, within the period set by the Executive Regulations (Art. 9). Check whether these have been issued.</w:t>
            </w:r>
          </w:p>
        </w:tc>
        <w:tc>
          <w:tcPr>
            <w:tcW w:type="dxa" w:w="2778"/>
          </w:tcPr>
          <w:p>
            <w:pPr>
              <w:spacing w:after="0"/>
            </w:pPr>
            <w:r>
              <w:rPr>
                <w:rFonts w:ascii="Arial" w:hAnsi="Arial" w:cs="Arial" w:eastAsia="Arial"/>
                <w:b w:val="0"/>
                <w:color w:val="111111"/>
                <w:sz w:val="16"/>
                <w:szCs w:val="16"/>
              </w:rPr>
              <w:t>Controller and processor notify the PDPC within 72 hours of becoming aware (Exec. Regs Art. 5).</w:t>
            </w:r>
          </w:p>
        </w:tc>
      </w:tr>
      <w:tr>
        <w:trPr>
          <w:cantSplit/>
        </w:trPr>
        <w:tc>
          <w:tcPr>
            <w:tcW w:type="dxa" w:w="1701"/>
            <w:shd w:val="clear" w:color="auto" w:fill="F4F4F4"/>
          </w:tcPr>
          <w:p>
            <w:pPr>
              <w:spacing w:after="0"/>
            </w:pPr>
            <w:r>
              <w:rPr>
                <w:rFonts w:ascii="Arial" w:hAnsi="Arial" w:cs="Arial" w:eastAsia="Arial"/>
                <w:b/>
                <w:bCs/>
                <w:color w:val="111111"/>
                <w:sz w:val="16"/>
                <w:szCs w:val="16"/>
              </w:rPr>
              <w:t>Breach: telling affected people</w:t>
            </w:r>
          </w:p>
        </w:tc>
        <w:tc>
          <w:tcPr>
            <w:tcW w:type="dxa" w:w="2778"/>
            <w:shd w:val="clear" w:color="auto" w:fill="F4F4F4"/>
          </w:tcPr>
          <w:p>
            <w:pPr>
              <w:spacing w:after="0"/>
            </w:pPr>
            <w:r>
              <w:rPr>
                <w:rFonts w:ascii="Arial" w:hAnsi="Arial" w:cs="Arial" w:eastAsia="Arial"/>
                <w:b w:val="0"/>
                <w:color w:val="111111"/>
                <w:sz w:val="16"/>
                <w:szCs w:val="16"/>
              </w:rPr>
              <w:t>Without undue delay, where the breach may cause damage or affect their rights (Art. 24(5)).</w:t>
            </w:r>
          </w:p>
        </w:tc>
        <w:tc>
          <w:tcPr>
            <w:tcW w:type="dxa" w:w="2494"/>
            <w:shd w:val="clear" w:color="auto" w:fill="F4F4F4"/>
          </w:tcPr>
          <w:p>
            <w:pPr>
              <w:spacing w:after="0"/>
            </w:pPr>
            <w:r>
              <w:rPr>
                <w:rFonts w:ascii="Arial" w:hAnsi="Arial" w:cs="Arial" w:eastAsia="Arial"/>
                <w:b w:val="0"/>
                <w:color w:val="111111"/>
                <w:sz w:val="16"/>
                <w:szCs w:val="16"/>
              </w:rPr>
              <w:t>Where the breach affects their privacy, within the period set by the Executive Regulations (Art. 9(2)).</w:t>
            </w:r>
          </w:p>
        </w:tc>
        <w:tc>
          <w:tcPr>
            <w:tcW w:type="dxa" w:w="2778"/>
            <w:shd w:val="clear" w:color="auto" w:fill="F4F4F4"/>
          </w:tcPr>
          <w:p>
            <w:pPr>
              <w:spacing w:after="0"/>
            </w:pPr>
            <w:r>
              <w:rPr>
                <w:rFonts w:ascii="Arial" w:hAnsi="Arial" w:cs="Arial" w:eastAsia="Arial"/>
                <w:b w:val="0"/>
                <w:color w:val="111111"/>
                <w:sz w:val="16"/>
                <w:szCs w:val="16"/>
              </w:rPr>
              <w:t>Within 3 working days of notifying the PDPC (Exec. Regs Art. 5).</w:t>
            </w:r>
          </w:p>
        </w:tc>
      </w:tr>
      <w:tr>
        <w:trPr>
          <w:cantSplit/>
        </w:trPr>
        <w:tc>
          <w:tcPr>
            <w:tcW w:type="dxa" w:w="1701"/>
          </w:tcPr>
          <w:p>
            <w:pPr>
              <w:spacing w:after="0"/>
            </w:pPr>
            <w:r>
              <w:rPr>
                <w:rFonts w:ascii="Arial" w:hAnsi="Arial" w:cs="Arial" w:eastAsia="Arial"/>
                <w:b/>
                <w:bCs/>
                <w:color w:val="111111"/>
                <w:sz w:val="16"/>
                <w:szCs w:val="16"/>
              </w:rPr>
              <w:t>Your vendor (processor) must tell you</w:t>
            </w:r>
          </w:p>
        </w:tc>
        <w:tc>
          <w:tcPr>
            <w:tcW w:type="dxa" w:w="2778"/>
          </w:tcPr>
          <w:p>
            <w:pPr>
              <w:spacing w:after="0"/>
            </w:pPr>
            <w:r>
              <w:rPr>
                <w:rFonts w:ascii="Arial" w:hAnsi="Arial" w:cs="Arial" w:eastAsia="Arial"/>
                <w:b w:val="0"/>
                <w:color w:val="111111"/>
                <w:sz w:val="16"/>
                <w:szCs w:val="16"/>
              </w:rPr>
              <w:t>Without undue delay; this must be written into the contract (Implementing Reg. Art. 17).</w:t>
            </w:r>
          </w:p>
        </w:tc>
        <w:tc>
          <w:tcPr>
            <w:tcW w:type="dxa" w:w="2494"/>
          </w:tcPr>
          <w:p>
            <w:pPr>
              <w:spacing w:after="0"/>
            </w:pPr>
            <w:r>
              <w:rPr>
                <w:rFonts w:ascii="Arial" w:hAnsi="Arial" w:cs="Arial" w:eastAsia="Arial"/>
                <w:b w:val="0"/>
                <w:color w:val="111111"/>
                <w:sz w:val="16"/>
                <w:szCs w:val="16"/>
              </w:rPr>
              <w:t>As soon as it becomes aware (Art. 9(3)).</w:t>
            </w:r>
          </w:p>
        </w:tc>
        <w:tc>
          <w:tcPr>
            <w:tcW w:type="dxa" w:w="2778"/>
          </w:tcPr>
          <w:p>
            <w:pPr>
              <w:spacing w:after="0"/>
            </w:pPr>
            <w:r>
              <w:rPr>
                <w:rFonts w:ascii="Arial" w:hAnsi="Arial" w:cs="Arial" w:eastAsia="Arial"/>
                <w:b w:val="0"/>
                <w:color w:val="111111"/>
                <w:sz w:val="16"/>
                <w:szCs w:val="16"/>
              </w:rPr>
              <w:t>The processor also reports directly to the PDPC (see above). Agree in the contract that it tells you at the same time.</w:t>
            </w:r>
          </w:p>
        </w:tc>
      </w:tr>
      <w:tr>
        <w:trPr>
          <w:cantSplit/>
        </w:trPr>
        <w:tc>
          <w:tcPr>
            <w:tcW w:type="dxa" w:w="1701"/>
            <w:shd w:val="clear" w:color="auto" w:fill="F4F4F4"/>
          </w:tcPr>
          <w:p>
            <w:pPr>
              <w:spacing w:after="0"/>
            </w:pPr>
            <w:r>
              <w:rPr>
                <w:rFonts w:ascii="Arial" w:hAnsi="Arial" w:cs="Arial" w:eastAsia="Arial"/>
                <w:b/>
                <w:bCs/>
                <w:color w:val="111111"/>
                <w:sz w:val="16"/>
                <w:szCs w:val="16"/>
              </w:rPr>
              <w:t>Key points to check</w:t>
            </w:r>
          </w:p>
        </w:tc>
        <w:tc>
          <w:tcPr>
            <w:tcW w:type="dxa" w:w="2778"/>
            <w:shd w:val="clear" w:color="auto" w:fill="F4F4F4"/>
          </w:tcPr>
          <w:p>
            <w:pPr>
              <w:spacing w:after="0"/>
            </w:pPr>
            <w:r>
              <w:rPr>
                <w:rFonts w:ascii="Arial" w:hAnsi="Arial" w:cs="Arial" w:eastAsia="Arial"/>
                <w:b w:val="0"/>
                <w:color w:val="111111"/>
                <w:sz w:val="16"/>
                <w:szCs w:val="16"/>
              </w:rPr>
              <w:t>Fines: warning or up to SAR 5 million per violation, doubled for repeat violations (PDPL Art. 36). Disclosing sensitive data to cause harm or for personal benefit: up to 2 years' prison and/or SAR 3 million (Art. 35). SDAIA opened a consultation on amendments to the Implementing Regulation in October 2026: check for the final text.</w:t>
            </w:r>
          </w:p>
        </w:tc>
        <w:tc>
          <w:tcPr>
            <w:tcW w:type="dxa" w:w="2494"/>
            <w:shd w:val="clear" w:color="auto" w:fill="F4F4F4"/>
          </w:tcPr>
          <w:p>
            <w:pPr>
              <w:spacing w:after="0"/>
            </w:pPr>
            <w:r>
              <w:rPr>
                <w:rFonts w:ascii="Arial" w:hAnsi="Arial" w:cs="Arial" w:eastAsia="Arial"/>
                <w:b w:val="0"/>
                <w:color w:val="111111"/>
                <w:sz w:val="16"/>
                <w:szCs w:val="16"/>
              </w:rPr>
              <w:t>Does not apply to companies in free zones with their own data protection law (e.g. DIFC, ADGM), or to health and banking/credit data covered by their own legislation (Art. 2). The fines schedule is left to a Cabinet decision (Art. 26).</w:t>
            </w:r>
          </w:p>
        </w:tc>
        <w:tc>
          <w:tcPr>
            <w:tcW w:type="dxa" w:w="2778"/>
            <w:shd w:val="clear" w:color="auto" w:fill="F4F4F4"/>
          </w:tcPr>
          <w:p>
            <w:pPr>
              <w:spacing w:after="0"/>
            </w:pPr>
            <w:r>
              <w:rPr>
                <w:rFonts w:ascii="Arial" w:hAnsi="Arial" w:cs="Arial" w:eastAsia="Arial"/>
                <w:b w:val="0"/>
                <w:color w:val="111111"/>
                <w:sz w:val="16"/>
                <w:szCs w:val="16"/>
              </w:rPr>
              <w:t>Controllers and processors may need a licence or permit from the PDPC and a registered Data Protection Officer. The one-year adjustment period after the Executive Regulations is widely read as ending 1 Nov 2026: confirm your status with the PDPC.</w:t>
            </w:r>
          </w:p>
        </w:tc>
      </w:tr>
    </w:tbl>
    <w:p>
      <w:pPr>
        <w:spacing w:after="0" w:before="0" w:line="120" w:lineRule="exact"/>
      </w:pPr>
      <w:r>
        <w:rPr>
          <w:rFonts w:ascii="Arial" w:hAnsi="Arial" w:cs="Arial" w:eastAsia="Arial"/>
          <w:sz w:val="12"/>
          <w:szCs w:val="12"/>
        </w:rPr>
      </w:r>
    </w:p>
    <w:p>
      <w:pPr>
        <w:spacing w:after="80"/>
      </w:pPr>
      <w:r>
        <w:rPr>
          <w:rFonts w:ascii="Arial" w:hAnsi="Arial" w:cs="Arial" w:eastAsia="Arial"/>
          <w:b/>
          <w:bCs/>
          <w:i w:val="0"/>
          <w:color w:val="111111"/>
          <w:sz w:val="19"/>
          <w:szCs w:val="19"/>
        </w:rPr>
        <w:t xml:space="preserve">My company is a </w:t>
      </w:r>
      <w:r>
        <w:rPr>
          <w:rFonts w:ascii="Arial" w:hAnsi="Arial" w:cs="Arial" w:eastAsia="Arial"/>
          <w:i w:val="0"/>
          <w:color w:val="111111"/>
          <w:sz w:val="19"/>
          <w:szCs w:val="19"/>
        </w:rPr>
        <w:t>☐ Controller (we decide why and how the data is used)   ☐ Processor (we handle it for a client)   ☐ Both</w:t>
      </w:r>
    </w:p>
    <w:p>
      <w:pPr>
        <w:spacing w:after="80"/>
      </w:pPr>
      <w:r>
        <w:rPr>
          <w:rFonts w:ascii="Arial" w:hAnsi="Arial" w:cs="Arial" w:eastAsia="Arial"/>
          <w:b/>
          <w:bCs/>
          <w:i w:val="0"/>
          <w:color w:val="111111"/>
          <w:sz w:val="19"/>
          <w:szCs w:val="19"/>
        </w:rPr>
        <w:t xml:space="preserve">Laws that apply to us: </w:t>
      </w:r>
      <w:r>
        <w:rPr>
          <w:rFonts w:ascii="Arial" w:hAnsi="Arial" w:cs="Arial" w:eastAsia="Arial"/>
          <w:i w:val="0"/>
          <w:color w:val="111111"/>
          <w:sz w:val="19"/>
          <w:szCs w:val="19"/>
        </w:rPr>
        <w:t>☐ KSA PDPL   ☐ UAE federal PDPL   ☐ DIFC / ADGM law   ☐ Egypt PDPL   ☐ Other: ______________</w:t>
      </w:r>
    </w:p>
    <w:p>
      <w:pPr>
        <w:pStyle w:val="Heading1"/>
      </w:pPr>
      <w:r>
        <w:t>2. What personal data does your finance team hold?</w:t>
      </w:r>
    </w:p>
    <w:p>
      <w:pPr>
        <w:spacing w:after="80"/>
      </w:pPr>
      <w:r>
        <w:rPr>
          <w:rFonts w:ascii="Arial" w:hAnsi="Arial" w:cs="Arial" w:eastAsia="Arial"/>
          <w:i w:val="0"/>
          <w:color w:val="111111"/>
          <w:sz w:val="20"/>
          <w:szCs w:val="20"/>
        </w:rPr>
        <w:t xml:space="preserve">Fill in the last three columns. The examples show what most SMEs hold; delete rows that do not apply and add any that are missing. Rows marked </w:t>
      </w:r>
      <w:r>
        <w:rPr>
          <w:rFonts w:ascii="Arial" w:hAnsi="Arial" w:cs="Arial" w:eastAsia="Arial"/>
          <w:b/>
          <w:bCs/>
          <w:i w:val="0"/>
          <w:color w:val="111111"/>
          <w:sz w:val="20"/>
          <w:szCs w:val="20"/>
        </w:rPr>
        <w:t>Sensitive</w:t>
      </w:r>
      <w:r>
        <w:rPr>
          <w:rFonts w:ascii="Arial" w:hAnsi="Arial" w:cs="Arial" w:eastAsia="Arial"/>
          <w:i w:val="0"/>
          <w:color w:val="111111"/>
          <w:sz w:val="20"/>
          <w:szCs w:val="20"/>
        </w:rPr>
        <w:t xml:space="preserve"> need extra care: limit access to the fewest people possible.</w:t>
      </w:r>
    </w:p>
    <w:tbl>
      <w:tblPr>
        <w:tblW w:type="dxa" w:w="9752"/>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60" w:type="dxa"/>
          <w:left w:w="90" w:type="dxa"/>
          <w:bottom w:w="60" w:type="dxa"/>
          <w:right w:w="90" w:type="dxa"/>
        </w:tblCellMar>
        <w:tblLook w:firstColumn="1" w:firstRow="1" w:lastColumn="0" w:lastRow="0" w:noHBand="0" w:noVBand="1" w:val="04A0"/>
      </w:tblPr>
      <w:tblGrid>
        <w:gridCol w:w="2948"/>
        <w:gridCol w:w="1701"/>
        <w:gridCol w:w="1871"/>
        <w:gridCol w:w="1701"/>
        <w:gridCol w:w="1530"/>
      </w:tblGrid>
      <w:tr>
        <w:trPr>
          <w:cantSplit/>
          <w:tblHeader/>
        </w:trPr>
        <w:tc>
          <w:tcPr>
            <w:tcW w:type="dxa" w:w="2948"/>
            <w:shd w:val="clear" w:color="auto" w:fill="111111"/>
          </w:tcPr>
          <w:p>
            <w:pPr>
              <w:spacing w:after="0"/>
            </w:pPr>
            <w:r>
              <w:rPr>
                <w:rFonts w:ascii="Arial" w:hAnsi="Arial" w:cs="Arial" w:eastAsia="Arial"/>
                <w:b/>
                <w:bCs/>
                <w:color w:val="FFFFFF"/>
                <w:sz w:val="17"/>
                <w:szCs w:val="17"/>
              </w:rPr>
              <w:t>Data held</w:t>
            </w:r>
          </w:p>
        </w:tc>
        <w:tc>
          <w:tcPr>
            <w:tcW w:type="dxa" w:w="1701"/>
            <w:shd w:val="clear" w:color="auto" w:fill="111111"/>
          </w:tcPr>
          <w:p>
            <w:pPr>
              <w:spacing w:after="0"/>
            </w:pPr>
            <w:r>
              <w:rPr>
                <w:rFonts w:ascii="Arial" w:hAnsi="Arial" w:cs="Arial" w:eastAsia="Arial"/>
                <w:b/>
                <w:bCs/>
                <w:color w:val="FFFFFF"/>
                <w:sz w:val="17"/>
                <w:szCs w:val="17"/>
              </w:rPr>
              <w:t>About whom</w:t>
            </w:r>
          </w:p>
        </w:tc>
        <w:tc>
          <w:tcPr>
            <w:tcW w:type="dxa" w:w="1871"/>
            <w:shd w:val="clear" w:color="auto" w:fill="111111"/>
          </w:tcPr>
          <w:p>
            <w:pPr>
              <w:spacing w:after="0"/>
            </w:pPr>
            <w:r>
              <w:rPr>
                <w:rFonts w:ascii="Arial" w:hAnsi="Arial" w:cs="Arial" w:eastAsia="Arial"/>
                <w:b/>
                <w:bCs/>
                <w:color w:val="FFFFFF"/>
                <w:sz w:val="17"/>
                <w:szCs w:val="17"/>
              </w:rPr>
              <w:t>Where it sits (system / folder)</w:t>
            </w:r>
          </w:p>
        </w:tc>
        <w:tc>
          <w:tcPr>
            <w:tcW w:type="dxa" w:w="1701"/>
            <w:shd w:val="clear" w:color="auto" w:fill="111111"/>
          </w:tcPr>
          <w:p>
            <w:pPr>
              <w:spacing w:after="0"/>
            </w:pPr>
            <w:r>
              <w:rPr>
                <w:rFonts w:ascii="Arial" w:hAnsi="Arial" w:cs="Arial" w:eastAsia="Arial"/>
                <w:b/>
                <w:bCs/>
                <w:color w:val="FFFFFF"/>
                <w:sz w:val="17"/>
                <w:szCs w:val="17"/>
              </w:rPr>
              <w:t>Who can access</w:t>
            </w:r>
          </w:p>
        </w:tc>
        <w:tc>
          <w:tcPr>
            <w:tcW w:type="dxa" w:w="1531"/>
            <w:shd w:val="clear" w:color="auto" w:fill="111111"/>
          </w:tcPr>
          <w:p>
            <w:pPr>
              <w:spacing w:after="0"/>
            </w:pPr>
            <w:r>
              <w:rPr>
                <w:rFonts w:ascii="Arial" w:hAnsi="Arial" w:cs="Arial" w:eastAsia="Arial"/>
                <w:b/>
                <w:bCs/>
                <w:color w:val="FFFFFF"/>
                <w:sz w:val="17"/>
                <w:szCs w:val="17"/>
              </w:rPr>
              <w:t>Keep until</w:t>
            </w:r>
          </w:p>
        </w:tc>
      </w:tr>
      <w:tr>
        <w:trPr>
          <w:cantSplit/>
          <w:trHeight w:val="425"/>
        </w:trPr>
        <w:tc>
          <w:tcPr>
            <w:tcW w:type="dxa" w:w="2948"/>
          </w:tcPr>
          <w:p>
            <w:pPr>
              <w:spacing w:after="0"/>
            </w:pPr>
            <w:r>
              <w:rPr>
                <w:rFonts w:ascii="Arial" w:hAnsi="Arial" w:cs="Arial" w:eastAsia="Arial"/>
                <w:b w:val="0"/>
                <w:color w:val="111111"/>
                <w:sz w:val="17"/>
                <w:szCs w:val="17"/>
              </w:rPr>
              <w:t>Payroll: salaries, allowances, deductions, bank IBANs</w:t>
            </w:r>
          </w:p>
        </w:tc>
        <w:tc>
          <w:tcPr>
            <w:tcW w:type="dxa" w:w="1701"/>
          </w:tcPr>
          <w:p>
            <w:pPr>
              <w:spacing w:after="0"/>
            </w:pPr>
            <w:r>
              <w:rPr>
                <w:rFonts w:ascii="Arial" w:hAnsi="Arial" w:cs="Arial" w:eastAsia="Arial"/>
                <w:b w:val="0"/>
                <w:color w:val="111111"/>
                <w:sz w:val="17"/>
                <w:szCs w:val="17"/>
              </w:rPr>
              <w:t>Employees</w:t>
            </w:r>
          </w:p>
        </w:tc>
        <w:tc>
          <w:tcPr>
            <w:tcW w:type="dxa" w:w="1871"/>
          </w:tcPr>
          <w:p>
            <w:pPr>
              <w:spacing w:after="0"/>
            </w:pPr>
            <w:r>
              <w:rPr>
                <w:rFonts w:ascii="Arial" w:hAnsi="Arial" w:cs="Arial" w:eastAsia="Arial"/>
                <w:b w:val="0"/>
                <w:color w:val="111111"/>
                <w:sz w:val="17"/>
                <w:szCs w:val="17"/>
              </w:rPr>
            </w:r>
          </w:p>
        </w:tc>
        <w:tc>
          <w:tcPr>
            <w:tcW w:type="dxa" w:w="1701"/>
          </w:tcPr>
          <w:p>
            <w:pPr>
              <w:spacing w:after="0"/>
            </w:pPr>
            <w:r>
              <w:rPr>
                <w:rFonts w:ascii="Arial" w:hAnsi="Arial" w:cs="Arial" w:eastAsia="Arial"/>
                <w:b w:val="0"/>
                <w:color w:val="111111"/>
                <w:sz w:val="17"/>
                <w:szCs w:val="17"/>
              </w:rPr>
            </w:r>
          </w:p>
        </w:tc>
        <w:tc>
          <w:tcPr>
            <w:tcW w:type="dxa" w:w="1531"/>
          </w:tcPr>
          <w:p>
            <w:pPr>
              <w:spacing w:after="0"/>
            </w:pPr>
            <w:r>
              <w:rPr>
                <w:rFonts w:ascii="Arial" w:hAnsi="Arial" w:cs="Arial" w:eastAsia="Arial"/>
                <w:b w:val="0"/>
                <w:color w:val="111111"/>
                <w:sz w:val="17"/>
                <w:szCs w:val="17"/>
              </w:rPr>
            </w:r>
          </w:p>
        </w:tc>
      </w:tr>
      <w:tr>
        <w:trPr>
          <w:cantSplit/>
          <w:trHeight w:val="425"/>
        </w:trPr>
        <w:tc>
          <w:tcPr>
            <w:tcW w:type="dxa" w:w="2948"/>
            <w:shd w:val="clear" w:color="auto" w:fill="F4F4F4"/>
          </w:tcPr>
          <w:p>
            <w:pPr>
              <w:spacing w:after="0"/>
            </w:pPr>
            <w:r>
              <w:rPr>
                <w:rFonts w:ascii="Arial" w:hAnsi="Arial" w:cs="Arial" w:eastAsia="Arial"/>
                <w:b w:val="0"/>
                <w:color w:val="111111"/>
                <w:sz w:val="17"/>
                <w:szCs w:val="17"/>
              </w:rPr>
              <w:t>ID and residency documents (national ID, Iqama, Emirates ID, passport copies)</w:t>
            </w:r>
          </w:p>
        </w:tc>
        <w:tc>
          <w:tcPr>
            <w:tcW w:type="dxa" w:w="1701"/>
            <w:shd w:val="clear" w:color="auto" w:fill="F4F4F4"/>
          </w:tcPr>
          <w:p>
            <w:pPr>
              <w:spacing w:after="0"/>
            </w:pPr>
            <w:r>
              <w:rPr>
                <w:rFonts w:ascii="Arial" w:hAnsi="Arial" w:cs="Arial" w:eastAsia="Arial"/>
                <w:b w:val="0"/>
                <w:color w:val="111111"/>
                <w:sz w:val="17"/>
                <w:szCs w:val="17"/>
              </w:rPr>
              <w:t>Employees, guarantors</w:t>
            </w:r>
          </w:p>
        </w:tc>
        <w:tc>
          <w:tcPr>
            <w:tcW w:type="dxa" w:w="1871"/>
            <w:shd w:val="clear" w:color="auto" w:fill="F4F4F4"/>
          </w:tcPr>
          <w:p>
            <w:pPr>
              <w:spacing w:after="0"/>
            </w:pPr>
            <w:r>
              <w:rPr>
                <w:rFonts w:ascii="Arial" w:hAnsi="Arial" w:cs="Arial" w:eastAsia="Arial"/>
                <w:b w:val="0"/>
                <w:color w:val="111111"/>
                <w:sz w:val="17"/>
                <w:szCs w:val="17"/>
              </w:rPr>
            </w:r>
          </w:p>
        </w:tc>
        <w:tc>
          <w:tcPr>
            <w:tcW w:type="dxa" w:w="1701"/>
            <w:shd w:val="clear" w:color="auto" w:fill="F4F4F4"/>
          </w:tcPr>
          <w:p>
            <w:pPr>
              <w:spacing w:after="0"/>
            </w:pPr>
            <w:r>
              <w:rPr>
                <w:rFonts w:ascii="Arial" w:hAnsi="Arial" w:cs="Arial" w:eastAsia="Arial"/>
                <w:b w:val="0"/>
                <w:color w:val="111111"/>
                <w:sz w:val="17"/>
                <w:szCs w:val="17"/>
              </w:rPr>
            </w:r>
          </w:p>
        </w:tc>
        <w:tc>
          <w:tcPr>
            <w:tcW w:type="dxa" w:w="1531"/>
            <w:shd w:val="clear" w:color="auto" w:fill="F4F4F4"/>
          </w:tcPr>
          <w:p>
            <w:pPr>
              <w:spacing w:after="0"/>
            </w:pPr>
            <w:r>
              <w:rPr>
                <w:rFonts w:ascii="Arial" w:hAnsi="Arial" w:cs="Arial" w:eastAsia="Arial"/>
                <w:b w:val="0"/>
                <w:color w:val="111111"/>
                <w:sz w:val="17"/>
                <w:szCs w:val="17"/>
              </w:rPr>
            </w:r>
          </w:p>
        </w:tc>
      </w:tr>
      <w:tr>
        <w:trPr>
          <w:cantSplit/>
          <w:trHeight w:val="425"/>
        </w:trPr>
        <w:tc>
          <w:tcPr>
            <w:tcW w:type="dxa" w:w="2948"/>
          </w:tcPr>
          <w:p>
            <w:pPr>
              <w:spacing w:after="0"/>
            </w:pPr>
            <w:r>
              <w:rPr>
                <w:rFonts w:ascii="Arial" w:hAnsi="Arial" w:cs="Arial" w:eastAsia="Arial"/>
                <w:b w:val="0"/>
                <w:color w:val="111111"/>
                <w:sz w:val="17"/>
                <w:szCs w:val="17"/>
              </w:rPr>
              <w:t>Medical certificates, sick-leave notes, insurance claims attached to expenses</w:t>
            </w:r>
          </w:p>
        </w:tc>
        <w:tc>
          <w:tcPr>
            <w:tcW w:type="dxa" w:w="1701"/>
          </w:tcPr>
          <w:p>
            <w:pPr>
              <w:spacing w:after="0"/>
            </w:pPr>
            <w:r>
              <w:rPr>
                <w:rFonts w:ascii="Arial" w:hAnsi="Arial" w:cs="Arial" w:eastAsia="Arial"/>
                <w:b w:val="0"/>
                <w:color w:val="111111"/>
                <w:sz w:val="17"/>
                <w:szCs w:val="17"/>
              </w:rPr>
              <w:t xml:space="preserve">Employees — </w:t>
            </w:r>
            <w:r>
              <w:rPr>
                <w:rFonts w:ascii="Arial" w:hAnsi="Arial" w:cs="Arial" w:eastAsia="Arial"/>
                <w:b/>
                <w:bCs/>
                <w:color w:val="111111"/>
                <w:sz w:val="17"/>
                <w:szCs w:val="17"/>
              </w:rPr>
              <w:t>Sensitive</w:t>
            </w:r>
          </w:p>
        </w:tc>
        <w:tc>
          <w:tcPr>
            <w:tcW w:type="dxa" w:w="1871"/>
          </w:tcPr>
          <w:p>
            <w:pPr>
              <w:spacing w:after="0"/>
            </w:pPr>
            <w:r>
              <w:rPr>
                <w:rFonts w:ascii="Arial" w:hAnsi="Arial" w:cs="Arial" w:eastAsia="Arial"/>
                <w:b w:val="0"/>
                <w:color w:val="111111"/>
                <w:sz w:val="17"/>
                <w:szCs w:val="17"/>
              </w:rPr>
            </w:r>
          </w:p>
        </w:tc>
        <w:tc>
          <w:tcPr>
            <w:tcW w:type="dxa" w:w="1701"/>
          </w:tcPr>
          <w:p>
            <w:pPr>
              <w:spacing w:after="0"/>
            </w:pPr>
            <w:r>
              <w:rPr>
                <w:rFonts w:ascii="Arial" w:hAnsi="Arial" w:cs="Arial" w:eastAsia="Arial"/>
                <w:b w:val="0"/>
                <w:color w:val="111111"/>
                <w:sz w:val="17"/>
                <w:szCs w:val="17"/>
              </w:rPr>
            </w:r>
          </w:p>
        </w:tc>
        <w:tc>
          <w:tcPr>
            <w:tcW w:type="dxa" w:w="1531"/>
          </w:tcPr>
          <w:p>
            <w:pPr>
              <w:spacing w:after="0"/>
            </w:pPr>
            <w:r>
              <w:rPr>
                <w:rFonts w:ascii="Arial" w:hAnsi="Arial" w:cs="Arial" w:eastAsia="Arial"/>
                <w:b w:val="0"/>
                <w:color w:val="111111"/>
                <w:sz w:val="17"/>
                <w:szCs w:val="17"/>
              </w:rPr>
            </w:r>
          </w:p>
        </w:tc>
      </w:tr>
      <w:tr>
        <w:trPr>
          <w:cantSplit/>
          <w:trHeight w:val="425"/>
        </w:trPr>
        <w:tc>
          <w:tcPr>
            <w:tcW w:type="dxa" w:w="2948"/>
            <w:shd w:val="clear" w:color="auto" w:fill="F4F4F4"/>
          </w:tcPr>
          <w:p>
            <w:pPr>
              <w:spacing w:after="0"/>
            </w:pPr>
            <w:r>
              <w:rPr>
                <w:rFonts w:ascii="Arial" w:hAnsi="Arial" w:cs="Arial" w:eastAsia="Arial"/>
                <w:b w:val="0"/>
                <w:color w:val="111111"/>
                <w:sz w:val="17"/>
                <w:szCs w:val="17"/>
              </w:rPr>
              <w:t>End-of-service, loans and advances to staff</w:t>
            </w:r>
          </w:p>
        </w:tc>
        <w:tc>
          <w:tcPr>
            <w:tcW w:type="dxa" w:w="1701"/>
            <w:shd w:val="clear" w:color="auto" w:fill="F4F4F4"/>
          </w:tcPr>
          <w:p>
            <w:pPr>
              <w:spacing w:after="0"/>
            </w:pPr>
            <w:r>
              <w:rPr>
                <w:rFonts w:ascii="Arial" w:hAnsi="Arial" w:cs="Arial" w:eastAsia="Arial"/>
                <w:b w:val="0"/>
                <w:color w:val="111111"/>
                <w:sz w:val="17"/>
                <w:szCs w:val="17"/>
              </w:rPr>
              <w:t>Employees</w:t>
            </w:r>
          </w:p>
        </w:tc>
        <w:tc>
          <w:tcPr>
            <w:tcW w:type="dxa" w:w="1871"/>
            <w:shd w:val="clear" w:color="auto" w:fill="F4F4F4"/>
          </w:tcPr>
          <w:p>
            <w:pPr>
              <w:spacing w:after="0"/>
            </w:pPr>
            <w:r>
              <w:rPr>
                <w:rFonts w:ascii="Arial" w:hAnsi="Arial" w:cs="Arial" w:eastAsia="Arial"/>
                <w:b w:val="0"/>
                <w:color w:val="111111"/>
                <w:sz w:val="17"/>
                <w:szCs w:val="17"/>
              </w:rPr>
            </w:r>
          </w:p>
        </w:tc>
        <w:tc>
          <w:tcPr>
            <w:tcW w:type="dxa" w:w="1701"/>
            <w:shd w:val="clear" w:color="auto" w:fill="F4F4F4"/>
          </w:tcPr>
          <w:p>
            <w:pPr>
              <w:spacing w:after="0"/>
            </w:pPr>
            <w:r>
              <w:rPr>
                <w:rFonts w:ascii="Arial" w:hAnsi="Arial" w:cs="Arial" w:eastAsia="Arial"/>
                <w:b w:val="0"/>
                <w:color w:val="111111"/>
                <w:sz w:val="17"/>
                <w:szCs w:val="17"/>
              </w:rPr>
            </w:r>
          </w:p>
        </w:tc>
        <w:tc>
          <w:tcPr>
            <w:tcW w:type="dxa" w:w="1531"/>
            <w:shd w:val="clear" w:color="auto" w:fill="F4F4F4"/>
          </w:tcPr>
          <w:p>
            <w:pPr>
              <w:spacing w:after="0"/>
            </w:pPr>
            <w:r>
              <w:rPr>
                <w:rFonts w:ascii="Arial" w:hAnsi="Arial" w:cs="Arial" w:eastAsia="Arial"/>
                <w:b w:val="0"/>
                <w:color w:val="111111"/>
                <w:sz w:val="17"/>
                <w:szCs w:val="17"/>
              </w:rPr>
            </w:r>
          </w:p>
        </w:tc>
      </w:tr>
      <w:tr>
        <w:trPr>
          <w:cantSplit/>
          <w:trHeight w:val="425"/>
        </w:trPr>
        <w:tc>
          <w:tcPr>
            <w:tcW w:type="dxa" w:w="2948"/>
          </w:tcPr>
          <w:p>
            <w:pPr>
              <w:spacing w:after="0"/>
            </w:pPr>
            <w:r>
              <w:rPr>
                <w:rFonts w:ascii="Arial" w:hAnsi="Arial" w:cs="Arial" w:eastAsia="Arial"/>
                <w:b w:val="0"/>
                <w:color w:val="111111"/>
                <w:sz w:val="17"/>
                <w:szCs w:val="17"/>
              </w:rPr>
              <w:t>Customer billing details, e-invoices with individual buyers' names</w:t>
            </w:r>
          </w:p>
        </w:tc>
        <w:tc>
          <w:tcPr>
            <w:tcW w:type="dxa" w:w="1701"/>
          </w:tcPr>
          <w:p>
            <w:pPr>
              <w:spacing w:after="0"/>
            </w:pPr>
            <w:r>
              <w:rPr>
                <w:rFonts w:ascii="Arial" w:hAnsi="Arial" w:cs="Arial" w:eastAsia="Arial"/>
                <w:b w:val="0"/>
                <w:color w:val="111111"/>
                <w:sz w:val="17"/>
                <w:szCs w:val="17"/>
              </w:rPr>
              <w:t>Customers who are individuals</w:t>
            </w:r>
          </w:p>
        </w:tc>
        <w:tc>
          <w:tcPr>
            <w:tcW w:type="dxa" w:w="1871"/>
          </w:tcPr>
          <w:p>
            <w:pPr>
              <w:spacing w:after="0"/>
            </w:pPr>
            <w:r>
              <w:rPr>
                <w:rFonts w:ascii="Arial" w:hAnsi="Arial" w:cs="Arial" w:eastAsia="Arial"/>
                <w:b w:val="0"/>
                <w:color w:val="111111"/>
                <w:sz w:val="17"/>
                <w:szCs w:val="17"/>
              </w:rPr>
            </w:r>
          </w:p>
        </w:tc>
        <w:tc>
          <w:tcPr>
            <w:tcW w:type="dxa" w:w="1701"/>
          </w:tcPr>
          <w:p>
            <w:pPr>
              <w:spacing w:after="0"/>
            </w:pPr>
            <w:r>
              <w:rPr>
                <w:rFonts w:ascii="Arial" w:hAnsi="Arial" w:cs="Arial" w:eastAsia="Arial"/>
                <w:b w:val="0"/>
                <w:color w:val="111111"/>
                <w:sz w:val="17"/>
                <w:szCs w:val="17"/>
              </w:rPr>
            </w:r>
          </w:p>
        </w:tc>
        <w:tc>
          <w:tcPr>
            <w:tcW w:type="dxa" w:w="1531"/>
          </w:tcPr>
          <w:p>
            <w:pPr>
              <w:spacing w:after="0"/>
            </w:pPr>
            <w:r>
              <w:rPr>
                <w:rFonts w:ascii="Arial" w:hAnsi="Arial" w:cs="Arial" w:eastAsia="Arial"/>
                <w:b w:val="0"/>
                <w:color w:val="111111"/>
                <w:sz w:val="17"/>
                <w:szCs w:val="17"/>
              </w:rPr>
            </w:r>
          </w:p>
        </w:tc>
      </w:tr>
      <w:tr>
        <w:trPr>
          <w:cantSplit/>
          <w:trHeight w:val="425"/>
        </w:trPr>
        <w:tc>
          <w:tcPr>
            <w:tcW w:type="dxa" w:w="2948"/>
            <w:shd w:val="clear" w:color="auto" w:fill="F4F4F4"/>
          </w:tcPr>
          <w:p>
            <w:pPr>
              <w:spacing w:after="0"/>
            </w:pPr>
            <w:r>
              <w:rPr>
                <w:rFonts w:ascii="Arial" w:hAnsi="Arial" w:cs="Arial" w:eastAsia="Arial"/>
                <w:b w:val="0"/>
                <w:color w:val="111111"/>
                <w:sz w:val="17"/>
                <w:szCs w:val="17"/>
              </w:rPr>
              <w:t>Credit checks, payment history, collection notes</w:t>
            </w:r>
          </w:p>
        </w:tc>
        <w:tc>
          <w:tcPr>
            <w:tcW w:type="dxa" w:w="1701"/>
            <w:shd w:val="clear" w:color="auto" w:fill="F4F4F4"/>
          </w:tcPr>
          <w:p>
            <w:pPr>
              <w:spacing w:after="0"/>
            </w:pPr>
            <w:r>
              <w:rPr>
                <w:rFonts w:ascii="Arial" w:hAnsi="Arial" w:cs="Arial" w:eastAsia="Arial"/>
                <w:b w:val="0"/>
                <w:color w:val="111111"/>
                <w:sz w:val="17"/>
                <w:szCs w:val="17"/>
              </w:rPr>
              <w:t>Customers, guarantors</w:t>
            </w:r>
          </w:p>
        </w:tc>
        <w:tc>
          <w:tcPr>
            <w:tcW w:type="dxa" w:w="1871"/>
            <w:shd w:val="clear" w:color="auto" w:fill="F4F4F4"/>
          </w:tcPr>
          <w:p>
            <w:pPr>
              <w:spacing w:after="0"/>
            </w:pPr>
            <w:r>
              <w:rPr>
                <w:rFonts w:ascii="Arial" w:hAnsi="Arial" w:cs="Arial" w:eastAsia="Arial"/>
                <w:b w:val="0"/>
                <w:color w:val="111111"/>
                <w:sz w:val="17"/>
                <w:szCs w:val="17"/>
              </w:rPr>
            </w:r>
          </w:p>
        </w:tc>
        <w:tc>
          <w:tcPr>
            <w:tcW w:type="dxa" w:w="1701"/>
            <w:shd w:val="clear" w:color="auto" w:fill="F4F4F4"/>
          </w:tcPr>
          <w:p>
            <w:pPr>
              <w:spacing w:after="0"/>
            </w:pPr>
            <w:r>
              <w:rPr>
                <w:rFonts w:ascii="Arial" w:hAnsi="Arial" w:cs="Arial" w:eastAsia="Arial"/>
                <w:b w:val="0"/>
                <w:color w:val="111111"/>
                <w:sz w:val="17"/>
                <w:szCs w:val="17"/>
              </w:rPr>
            </w:r>
          </w:p>
        </w:tc>
        <w:tc>
          <w:tcPr>
            <w:tcW w:type="dxa" w:w="1531"/>
            <w:shd w:val="clear" w:color="auto" w:fill="F4F4F4"/>
          </w:tcPr>
          <w:p>
            <w:pPr>
              <w:spacing w:after="0"/>
            </w:pPr>
            <w:r>
              <w:rPr>
                <w:rFonts w:ascii="Arial" w:hAnsi="Arial" w:cs="Arial" w:eastAsia="Arial"/>
                <w:b w:val="0"/>
                <w:color w:val="111111"/>
                <w:sz w:val="17"/>
                <w:szCs w:val="17"/>
              </w:rPr>
            </w:r>
          </w:p>
        </w:tc>
      </w:tr>
      <w:tr>
        <w:trPr>
          <w:cantSplit/>
          <w:trHeight w:val="425"/>
        </w:trPr>
        <w:tc>
          <w:tcPr>
            <w:tcW w:type="dxa" w:w="2948"/>
          </w:tcPr>
          <w:p>
            <w:pPr>
              <w:spacing w:after="0"/>
            </w:pPr>
            <w:r>
              <w:rPr>
                <w:rFonts w:ascii="Arial" w:hAnsi="Arial" w:cs="Arial" w:eastAsia="Arial"/>
                <w:b w:val="0"/>
                <w:color w:val="111111"/>
                <w:sz w:val="17"/>
                <w:szCs w:val="17"/>
              </w:rPr>
              <w:t>Supplier bank details for sole traders and freelancers</w:t>
            </w:r>
          </w:p>
        </w:tc>
        <w:tc>
          <w:tcPr>
            <w:tcW w:type="dxa" w:w="1701"/>
          </w:tcPr>
          <w:p>
            <w:pPr>
              <w:spacing w:after="0"/>
            </w:pPr>
            <w:r>
              <w:rPr>
                <w:rFonts w:ascii="Arial" w:hAnsi="Arial" w:cs="Arial" w:eastAsia="Arial"/>
                <w:b w:val="0"/>
                <w:color w:val="111111"/>
                <w:sz w:val="17"/>
                <w:szCs w:val="17"/>
              </w:rPr>
              <w:t>Individual suppliers</w:t>
            </w:r>
          </w:p>
        </w:tc>
        <w:tc>
          <w:tcPr>
            <w:tcW w:type="dxa" w:w="1871"/>
          </w:tcPr>
          <w:p>
            <w:pPr>
              <w:spacing w:after="0"/>
            </w:pPr>
            <w:r>
              <w:rPr>
                <w:rFonts w:ascii="Arial" w:hAnsi="Arial" w:cs="Arial" w:eastAsia="Arial"/>
                <w:b w:val="0"/>
                <w:color w:val="111111"/>
                <w:sz w:val="17"/>
                <w:szCs w:val="17"/>
              </w:rPr>
            </w:r>
          </w:p>
        </w:tc>
        <w:tc>
          <w:tcPr>
            <w:tcW w:type="dxa" w:w="1701"/>
          </w:tcPr>
          <w:p>
            <w:pPr>
              <w:spacing w:after="0"/>
            </w:pPr>
            <w:r>
              <w:rPr>
                <w:rFonts w:ascii="Arial" w:hAnsi="Arial" w:cs="Arial" w:eastAsia="Arial"/>
                <w:b w:val="0"/>
                <w:color w:val="111111"/>
                <w:sz w:val="17"/>
                <w:szCs w:val="17"/>
              </w:rPr>
            </w:r>
          </w:p>
        </w:tc>
        <w:tc>
          <w:tcPr>
            <w:tcW w:type="dxa" w:w="1531"/>
          </w:tcPr>
          <w:p>
            <w:pPr>
              <w:spacing w:after="0"/>
            </w:pPr>
            <w:r>
              <w:rPr>
                <w:rFonts w:ascii="Arial" w:hAnsi="Arial" w:cs="Arial" w:eastAsia="Arial"/>
                <w:b w:val="0"/>
                <w:color w:val="111111"/>
                <w:sz w:val="17"/>
                <w:szCs w:val="17"/>
              </w:rPr>
            </w:r>
          </w:p>
        </w:tc>
      </w:tr>
      <w:tr>
        <w:trPr>
          <w:cantSplit/>
          <w:trHeight w:val="425"/>
        </w:trPr>
        <w:tc>
          <w:tcPr>
            <w:tcW w:type="dxa" w:w="2948"/>
            <w:shd w:val="clear" w:color="auto" w:fill="F4F4F4"/>
          </w:tcPr>
          <w:p>
            <w:pPr>
              <w:spacing w:after="0"/>
            </w:pPr>
            <w:r>
              <w:rPr>
                <w:rFonts w:ascii="Arial" w:hAnsi="Arial" w:cs="Arial" w:eastAsia="Arial"/>
                <w:b w:val="0"/>
                <w:color w:val="111111"/>
                <w:sz w:val="17"/>
                <w:szCs w:val="17"/>
              </w:rPr>
              <w:t>Owner / shareholder personal data held for banks, auditors, KYC</w:t>
            </w:r>
          </w:p>
        </w:tc>
        <w:tc>
          <w:tcPr>
            <w:tcW w:type="dxa" w:w="1701"/>
            <w:shd w:val="clear" w:color="auto" w:fill="F4F4F4"/>
          </w:tcPr>
          <w:p>
            <w:pPr>
              <w:spacing w:after="0"/>
            </w:pPr>
            <w:r>
              <w:rPr>
                <w:rFonts w:ascii="Arial" w:hAnsi="Arial" w:cs="Arial" w:eastAsia="Arial"/>
                <w:b w:val="0"/>
                <w:color w:val="111111"/>
                <w:sz w:val="17"/>
                <w:szCs w:val="17"/>
              </w:rPr>
              <w:t>Owners, directors</w:t>
            </w:r>
          </w:p>
        </w:tc>
        <w:tc>
          <w:tcPr>
            <w:tcW w:type="dxa" w:w="1871"/>
            <w:shd w:val="clear" w:color="auto" w:fill="F4F4F4"/>
          </w:tcPr>
          <w:p>
            <w:pPr>
              <w:spacing w:after="0"/>
            </w:pPr>
            <w:r>
              <w:rPr>
                <w:rFonts w:ascii="Arial" w:hAnsi="Arial" w:cs="Arial" w:eastAsia="Arial"/>
                <w:b w:val="0"/>
                <w:color w:val="111111"/>
                <w:sz w:val="17"/>
                <w:szCs w:val="17"/>
              </w:rPr>
            </w:r>
          </w:p>
        </w:tc>
        <w:tc>
          <w:tcPr>
            <w:tcW w:type="dxa" w:w="1701"/>
            <w:shd w:val="clear" w:color="auto" w:fill="F4F4F4"/>
          </w:tcPr>
          <w:p>
            <w:pPr>
              <w:spacing w:after="0"/>
            </w:pPr>
            <w:r>
              <w:rPr>
                <w:rFonts w:ascii="Arial" w:hAnsi="Arial" w:cs="Arial" w:eastAsia="Arial"/>
                <w:b w:val="0"/>
                <w:color w:val="111111"/>
                <w:sz w:val="17"/>
                <w:szCs w:val="17"/>
              </w:rPr>
            </w:r>
          </w:p>
        </w:tc>
        <w:tc>
          <w:tcPr>
            <w:tcW w:type="dxa" w:w="1531"/>
            <w:shd w:val="clear" w:color="auto" w:fill="F4F4F4"/>
          </w:tcPr>
          <w:p>
            <w:pPr>
              <w:spacing w:after="0"/>
            </w:pPr>
            <w:r>
              <w:rPr>
                <w:rFonts w:ascii="Arial" w:hAnsi="Arial" w:cs="Arial" w:eastAsia="Arial"/>
                <w:b w:val="0"/>
                <w:color w:val="111111"/>
                <w:sz w:val="17"/>
                <w:szCs w:val="17"/>
              </w:rPr>
            </w:r>
          </w:p>
        </w:tc>
      </w:tr>
      <w:tr>
        <w:trPr>
          <w:cantSplit/>
          <w:trHeight w:val="425"/>
        </w:trPr>
        <w:tc>
          <w:tcPr>
            <w:tcW w:type="dxa" w:w="2948"/>
          </w:tcPr>
          <w:p>
            <w:pPr>
              <w:spacing w:after="0"/>
            </w:pPr>
            <w:r>
              <w:rPr>
                <w:rFonts w:ascii="Arial" w:hAnsi="Arial" w:cs="Arial" w:eastAsia="Arial"/>
                <w:b w:val="0"/>
                <w:color w:val="111111"/>
                <w:sz w:val="17"/>
                <w:szCs w:val="17"/>
              </w:rPr>
              <w:t>Bank statements and card statements showing individual payees</w:t>
            </w:r>
          </w:p>
        </w:tc>
        <w:tc>
          <w:tcPr>
            <w:tcW w:type="dxa" w:w="1701"/>
          </w:tcPr>
          <w:p>
            <w:pPr>
              <w:spacing w:after="0"/>
            </w:pPr>
            <w:r>
              <w:rPr>
                <w:rFonts w:ascii="Arial" w:hAnsi="Arial" w:cs="Arial" w:eastAsia="Arial"/>
                <w:b w:val="0"/>
                <w:color w:val="111111"/>
                <w:sz w:val="17"/>
                <w:szCs w:val="17"/>
              </w:rPr>
              <w:t>Employees, customers, suppliers</w:t>
            </w:r>
          </w:p>
        </w:tc>
        <w:tc>
          <w:tcPr>
            <w:tcW w:type="dxa" w:w="1871"/>
          </w:tcPr>
          <w:p>
            <w:pPr>
              <w:spacing w:after="0"/>
            </w:pPr>
            <w:r>
              <w:rPr>
                <w:rFonts w:ascii="Arial" w:hAnsi="Arial" w:cs="Arial" w:eastAsia="Arial"/>
                <w:b w:val="0"/>
                <w:color w:val="111111"/>
                <w:sz w:val="17"/>
                <w:szCs w:val="17"/>
              </w:rPr>
            </w:r>
          </w:p>
        </w:tc>
        <w:tc>
          <w:tcPr>
            <w:tcW w:type="dxa" w:w="1701"/>
          </w:tcPr>
          <w:p>
            <w:pPr>
              <w:spacing w:after="0"/>
            </w:pPr>
            <w:r>
              <w:rPr>
                <w:rFonts w:ascii="Arial" w:hAnsi="Arial" w:cs="Arial" w:eastAsia="Arial"/>
                <w:b w:val="0"/>
                <w:color w:val="111111"/>
                <w:sz w:val="17"/>
                <w:szCs w:val="17"/>
              </w:rPr>
            </w:r>
          </w:p>
        </w:tc>
        <w:tc>
          <w:tcPr>
            <w:tcW w:type="dxa" w:w="1531"/>
          </w:tcPr>
          <w:p>
            <w:pPr>
              <w:spacing w:after="0"/>
            </w:pPr>
            <w:r>
              <w:rPr>
                <w:rFonts w:ascii="Arial" w:hAnsi="Arial" w:cs="Arial" w:eastAsia="Arial"/>
                <w:b w:val="0"/>
                <w:color w:val="111111"/>
                <w:sz w:val="17"/>
                <w:szCs w:val="17"/>
              </w:rPr>
            </w:r>
          </w:p>
        </w:tc>
      </w:tr>
      <w:tr>
        <w:trPr>
          <w:cantSplit/>
          <w:trHeight w:val="425"/>
        </w:trPr>
        <w:tc>
          <w:tcPr>
            <w:tcW w:type="dxa" w:w="2948"/>
            <w:shd w:val="clear" w:color="auto" w:fill="F4F4F4"/>
          </w:tcPr>
          <w:p>
            <w:pPr>
              <w:spacing w:after="0"/>
            </w:pPr>
            <w:r>
              <w:rPr>
                <w:rFonts w:ascii="Arial" w:hAnsi="Arial" w:cs="Arial" w:eastAsia="Arial"/>
                <w:b w:val="0"/>
                <w:color w:val="111111"/>
                <w:sz w:val="17"/>
                <w:szCs w:val="17"/>
              </w:rPr>
              <w:t>Other: ______________________</w:t>
            </w:r>
          </w:p>
        </w:tc>
        <w:tc>
          <w:tcPr>
            <w:tcW w:type="dxa" w:w="1701"/>
            <w:shd w:val="clear" w:color="auto" w:fill="F4F4F4"/>
          </w:tcPr>
          <w:p>
            <w:pPr>
              <w:spacing w:after="0"/>
            </w:pPr>
            <w:r>
              <w:rPr>
                <w:rFonts w:ascii="Arial" w:hAnsi="Arial" w:cs="Arial" w:eastAsia="Arial"/>
                <w:b w:val="0"/>
                <w:color w:val="111111"/>
                <w:sz w:val="17"/>
                <w:szCs w:val="17"/>
              </w:rPr>
            </w:r>
          </w:p>
        </w:tc>
        <w:tc>
          <w:tcPr>
            <w:tcW w:type="dxa" w:w="1871"/>
            <w:shd w:val="clear" w:color="auto" w:fill="F4F4F4"/>
          </w:tcPr>
          <w:p>
            <w:pPr>
              <w:spacing w:after="0"/>
            </w:pPr>
            <w:r>
              <w:rPr>
                <w:rFonts w:ascii="Arial" w:hAnsi="Arial" w:cs="Arial" w:eastAsia="Arial"/>
                <w:b w:val="0"/>
                <w:color w:val="111111"/>
                <w:sz w:val="17"/>
                <w:szCs w:val="17"/>
              </w:rPr>
            </w:r>
          </w:p>
        </w:tc>
        <w:tc>
          <w:tcPr>
            <w:tcW w:type="dxa" w:w="1701"/>
            <w:shd w:val="clear" w:color="auto" w:fill="F4F4F4"/>
          </w:tcPr>
          <w:p>
            <w:pPr>
              <w:spacing w:after="0"/>
            </w:pPr>
            <w:r>
              <w:rPr>
                <w:rFonts w:ascii="Arial" w:hAnsi="Arial" w:cs="Arial" w:eastAsia="Arial"/>
                <w:b w:val="0"/>
                <w:color w:val="111111"/>
                <w:sz w:val="17"/>
                <w:szCs w:val="17"/>
              </w:rPr>
            </w:r>
          </w:p>
        </w:tc>
        <w:tc>
          <w:tcPr>
            <w:tcW w:type="dxa" w:w="1531"/>
            <w:shd w:val="clear" w:color="auto" w:fill="F4F4F4"/>
          </w:tcPr>
          <w:p>
            <w:pPr>
              <w:spacing w:after="0"/>
            </w:pPr>
            <w:r>
              <w:rPr>
                <w:rFonts w:ascii="Arial" w:hAnsi="Arial" w:cs="Arial" w:eastAsia="Arial"/>
                <w:b w:val="0"/>
                <w:color w:val="111111"/>
                <w:sz w:val="17"/>
                <w:szCs w:val="17"/>
              </w:rPr>
            </w:r>
          </w:p>
        </w:tc>
      </w:tr>
    </w:tbl>
    <w:p>
      <w:pPr>
        <w:spacing w:after="0" w:before="0" w:line="120" w:lineRule="exact"/>
      </w:pPr>
      <w:r>
        <w:rPr>
          <w:rFonts w:ascii="Arial" w:hAnsi="Arial" w:cs="Arial" w:eastAsia="Arial"/>
          <w:sz w:val="12"/>
          <w:szCs w:val="12"/>
        </w:rPr>
      </w:r>
    </w:p>
    <w:p>
      <w:pPr>
        <w:pStyle w:val="Heading1"/>
      </w:pPr>
      <w:r>
        <w:t>3. Access control checklist</w:t>
      </w:r>
    </w:p>
    <w:p>
      <w:pPr>
        <w:spacing w:after="80"/>
      </w:pPr>
      <w:r>
        <w:rPr>
          <w:rFonts w:ascii="Arial" w:hAnsi="Arial" w:cs="Arial" w:eastAsia="Arial"/>
          <w:i w:val="0"/>
          <w:color w:val="111111"/>
          <w:sz w:val="20"/>
          <w:szCs w:val="20"/>
        </w:rPr>
        <w:t>Tick what is true today. Every empty box is an action for this month.</w:t>
      </w:r>
    </w:p>
    <w:tbl>
      <w:tblPr>
        <w:tblW w:type="dxa" w:w="9752"/>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60" w:type="dxa"/>
          <w:left w:w="90" w:type="dxa"/>
          <w:bottom w:w="60" w:type="dxa"/>
          <w:right w:w="90" w:type="dxa"/>
        </w:tblCellMar>
        <w:tblLook w:firstColumn="1" w:firstRow="1" w:lastColumn="0" w:lastRow="0" w:noHBand="0" w:noVBand="1" w:val="04A0"/>
      </w:tblPr>
      <w:tblGrid>
        <w:gridCol w:w="567"/>
        <w:gridCol w:w="6917"/>
        <w:gridCol w:w="2268"/>
      </w:tblGrid>
      <w:tr>
        <w:trPr>
          <w:cantSplit/>
          <w:tblHeader/>
        </w:trPr>
        <w:tc>
          <w:tcPr>
            <w:tcW w:type="dxa" w:w="567"/>
            <w:shd w:val="clear" w:color="auto" w:fill="111111"/>
          </w:tcPr>
          <w:p>
            <w:pPr>
              <w:spacing w:after="0"/>
            </w:pPr>
            <w:r>
              <w:rPr>
                <w:rFonts w:ascii="Arial" w:hAnsi="Arial" w:cs="Arial" w:eastAsia="Arial"/>
                <w:b/>
                <w:bCs/>
                <w:color w:val="FFFFFF"/>
                <w:sz w:val="18"/>
                <w:szCs w:val="18"/>
              </w:rPr>
            </w:r>
          </w:p>
        </w:tc>
        <w:tc>
          <w:tcPr>
            <w:tcW w:type="dxa" w:w="6917"/>
            <w:shd w:val="clear" w:color="auto" w:fill="111111"/>
          </w:tcPr>
          <w:p>
            <w:pPr>
              <w:spacing w:after="0"/>
            </w:pPr>
            <w:r>
              <w:rPr>
                <w:rFonts w:ascii="Arial" w:hAnsi="Arial" w:cs="Arial" w:eastAsia="Arial"/>
                <w:b/>
                <w:bCs/>
                <w:color w:val="FFFFFF"/>
                <w:sz w:val="18"/>
                <w:szCs w:val="18"/>
              </w:rPr>
              <w:t>Control</w:t>
            </w:r>
          </w:p>
        </w:tc>
        <w:tc>
          <w:tcPr>
            <w:tcW w:type="dxa" w:w="2268"/>
            <w:shd w:val="clear" w:color="auto" w:fill="111111"/>
          </w:tcPr>
          <w:p>
            <w:pPr>
              <w:spacing w:after="0"/>
            </w:pPr>
            <w:r>
              <w:rPr>
                <w:rFonts w:ascii="Arial" w:hAnsi="Arial" w:cs="Arial" w:eastAsia="Arial"/>
                <w:b/>
                <w:bCs/>
                <w:color w:val="FFFFFF"/>
                <w:sz w:val="18"/>
                <w:szCs w:val="18"/>
              </w:rPr>
              <w:t>Owner / due date</w:t>
            </w:r>
          </w:p>
        </w:tc>
      </w:tr>
      <w:tr>
        <w:trPr>
          <w:cantSplit/>
        </w:trPr>
        <w:tc>
          <w:tcPr>
            <w:tcW w:type="dxa" w:w="567"/>
          </w:tcPr>
          <w:p>
            <w:pPr>
              <w:spacing w:after="0"/>
              <w:jc w:val="center"/>
            </w:pPr>
            <w:r>
              <w:rPr>
                <w:rFonts w:ascii="Segoe UI Symbol" w:hAnsi="Segoe UI Symbol" w:cs="Segoe UI Symbol" w:eastAsia="Segoe UI Symbol"/>
                <w:sz w:val="22"/>
                <w:szCs w:val="22"/>
              </w:rPr>
              <w:t>☐</w:t>
            </w:r>
          </w:p>
        </w:tc>
        <w:tc>
          <w:tcPr>
            <w:tcW w:type="dxa" w:w="6917"/>
          </w:tcPr>
          <w:p>
            <w:pPr>
              <w:spacing w:after="0"/>
            </w:pPr>
            <w:r>
              <w:rPr>
                <w:rFonts w:ascii="Arial" w:hAnsi="Arial" w:cs="Arial" w:eastAsia="Arial"/>
                <w:b/>
                <w:bCs/>
                <w:color w:val="111111"/>
                <w:sz w:val="18"/>
                <w:szCs w:val="18"/>
              </w:rPr>
              <w:t xml:space="preserve">Named users only. </w:t>
            </w:r>
            <w:r>
              <w:rPr>
                <w:rFonts w:ascii="Arial" w:hAnsi="Arial" w:cs="Arial" w:eastAsia="Arial"/>
                <w:b w:val="0"/>
                <w:color w:val="111111"/>
                <w:sz w:val="18"/>
                <w:szCs w:val="18"/>
              </w:rPr>
              <w:t>No shared logins to the accounting system, bank portal or payroll.</w:t>
            </w:r>
          </w:p>
        </w:tc>
        <w:tc>
          <w:tcPr>
            <w:tcW w:type="dxa" w:w="2268"/>
          </w:tcPr>
          <w:p>
            <w:pPr>
              <w:spacing w:after="0"/>
            </w:pPr>
            <w:r>
              <w:rPr>
                <w:rFonts w:ascii="Arial" w:hAnsi="Arial" w:cs="Arial" w:eastAsia="Arial"/>
                <w:b w:val="0"/>
                <w:color w:val="111111"/>
                <w:sz w:val="18"/>
                <w:szCs w:val="18"/>
              </w:rPr>
            </w:r>
          </w:p>
        </w:tc>
      </w:tr>
      <w:tr>
        <w:trPr>
          <w:cantSplit/>
        </w:trPr>
        <w:tc>
          <w:tcPr>
            <w:tcW w:type="dxa" w:w="567"/>
            <w:shd w:val="clear" w:color="auto" w:fill="F4F4F4"/>
          </w:tcPr>
          <w:p>
            <w:pPr>
              <w:spacing w:after="0"/>
              <w:jc w:val="center"/>
            </w:pPr>
            <w:r>
              <w:rPr>
                <w:rFonts w:ascii="Segoe UI Symbol" w:hAnsi="Segoe UI Symbol" w:cs="Segoe UI Symbol" w:eastAsia="Segoe UI Symbol"/>
                <w:sz w:val="22"/>
                <w:szCs w:val="22"/>
              </w:rPr>
              <w:t>☐</w:t>
            </w:r>
          </w:p>
        </w:tc>
        <w:tc>
          <w:tcPr>
            <w:tcW w:type="dxa" w:w="6917"/>
            <w:shd w:val="clear" w:color="auto" w:fill="F4F4F4"/>
          </w:tcPr>
          <w:p>
            <w:pPr>
              <w:spacing w:after="0"/>
            </w:pPr>
            <w:r>
              <w:rPr>
                <w:rFonts w:ascii="Arial" w:hAnsi="Arial" w:cs="Arial" w:eastAsia="Arial"/>
                <w:b/>
                <w:bCs/>
                <w:color w:val="111111"/>
                <w:sz w:val="18"/>
                <w:szCs w:val="18"/>
              </w:rPr>
              <w:t xml:space="preserve">Multi-factor authentication </w:t>
            </w:r>
            <w:r>
              <w:rPr>
                <w:rFonts w:ascii="Arial" w:hAnsi="Arial" w:cs="Arial" w:eastAsia="Arial"/>
                <w:b w:val="0"/>
                <w:color w:val="111111"/>
                <w:sz w:val="18"/>
                <w:szCs w:val="18"/>
              </w:rPr>
              <w:t>on accounting, payroll, banking, email and cloud storage.</w:t>
            </w:r>
          </w:p>
        </w:tc>
        <w:tc>
          <w:tcPr>
            <w:tcW w:type="dxa" w:w="2268"/>
            <w:shd w:val="clear" w:color="auto" w:fill="F4F4F4"/>
          </w:tcPr>
          <w:p>
            <w:pPr>
              <w:spacing w:after="0"/>
            </w:pPr>
            <w:r>
              <w:rPr>
                <w:rFonts w:ascii="Arial" w:hAnsi="Arial" w:cs="Arial" w:eastAsia="Arial"/>
                <w:b w:val="0"/>
                <w:color w:val="111111"/>
                <w:sz w:val="18"/>
                <w:szCs w:val="18"/>
              </w:rPr>
            </w:r>
          </w:p>
        </w:tc>
      </w:tr>
      <w:tr>
        <w:trPr>
          <w:cantSplit/>
        </w:trPr>
        <w:tc>
          <w:tcPr>
            <w:tcW w:type="dxa" w:w="567"/>
          </w:tcPr>
          <w:p>
            <w:pPr>
              <w:spacing w:after="0"/>
              <w:jc w:val="center"/>
            </w:pPr>
            <w:r>
              <w:rPr>
                <w:rFonts w:ascii="Segoe UI Symbol" w:hAnsi="Segoe UI Symbol" w:cs="Segoe UI Symbol" w:eastAsia="Segoe UI Symbol"/>
                <w:sz w:val="22"/>
                <w:szCs w:val="22"/>
              </w:rPr>
              <w:t>☐</w:t>
            </w:r>
          </w:p>
        </w:tc>
        <w:tc>
          <w:tcPr>
            <w:tcW w:type="dxa" w:w="6917"/>
          </w:tcPr>
          <w:p>
            <w:pPr>
              <w:spacing w:after="0"/>
            </w:pPr>
            <w:r>
              <w:rPr>
                <w:rFonts w:ascii="Arial" w:hAnsi="Arial" w:cs="Arial" w:eastAsia="Arial"/>
                <w:b/>
                <w:bCs/>
                <w:color w:val="111111"/>
                <w:sz w:val="18"/>
                <w:szCs w:val="18"/>
              </w:rPr>
              <w:t xml:space="preserve">Role-based access. </w:t>
            </w:r>
            <w:r>
              <w:rPr>
                <w:rFonts w:ascii="Arial" w:hAnsi="Arial" w:cs="Arial" w:eastAsia="Arial"/>
                <w:b w:val="0"/>
                <w:color w:val="111111"/>
                <w:sz w:val="18"/>
                <w:szCs w:val="18"/>
              </w:rPr>
              <w:t>Payroll and HR files visible only to the people who run payroll.</w:t>
            </w:r>
          </w:p>
        </w:tc>
        <w:tc>
          <w:tcPr>
            <w:tcW w:type="dxa" w:w="2268"/>
          </w:tcPr>
          <w:p>
            <w:pPr>
              <w:spacing w:after="0"/>
            </w:pPr>
            <w:r>
              <w:rPr>
                <w:rFonts w:ascii="Arial" w:hAnsi="Arial" w:cs="Arial" w:eastAsia="Arial"/>
                <w:b w:val="0"/>
                <w:color w:val="111111"/>
                <w:sz w:val="18"/>
                <w:szCs w:val="18"/>
              </w:rPr>
            </w:r>
          </w:p>
        </w:tc>
      </w:tr>
      <w:tr>
        <w:trPr>
          <w:cantSplit/>
        </w:trPr>
        <w:tc>
          <w:tcPr>
            <w:tcW w:type="dxa" w:w="567"/>
            <w:shd w:val="clear" w:color="auto" w:fill="F4F4F4"/>
          </w:tcPr>
          <w:p>
            <w:pPr>
              <w:spacing w:after="0"/>
              <w:jc w:val="center"/>
            </w:pPr>
            <w:r>
              <w:rPr>
                <w:rFonts w:ascii="Segoe UI Symbol" w:hAnsi="Segoe UI Symbol" w:cs="Segoe UI Symbol" w:eastAsia="Segoe UI Symbol"/>
                <w:sz w:val="22"/>
                <w:szCs w:val="22"/>
              </w:rPr>
              <w:t>☐</w:t>
            </w:r>
          </w:p>
        </w:tc>
        <w:tc>
          <w:tcPr>
            <w:tcW w:type="dxa" w:w="6917"/>
            <w:shd w:val="clear" w:color="auto" w:fill="F4F4F4"/>
          </w:tcPr>
          <w:p>
            <w:pPr>
              <w:spacing w:after="0"/>
            </w:pPr>
            <w:r>
              <w:rPr>
                <w:rFonts w:ascii="Arial" w:hAnsi="Arial" w:cs="Arial" w:eastAsia="Arial"/>
                <w:b/>
                <w:bCs/>
                <w:color w:val="111111"/>
                <w:sz w:val="18"/>
                <w:szCs w:val="18"/>
              </w:rPr>
              <w:t xml:space="preserve">Bank approvals split: </w:t>
            </w:r>
            <w:r>
              <w:rPr>
                <w:rFonts w:ascii="Arial" w:hAnsi="Arial" w:cs="Arial" w:eastAsia="Arial"/>
                <w:b w:val="0"/>
                <w:color w:val="111111"/>
                <w:sz w:val="18"/>
                <w:szCs w:val="18"/>
              </w:rPr>
              <w:t>the person who creates a payment is not the person who approves it.</w:t>
            </w:r>
          </w:p>
        </w:tc>
        <w:tc>
          <w:tcPr>
            <w:tcW w:type="dxa" w:w="2268"/>
            <w:shd w:val="clear" w:color="auto" w:fill="F4F4F4"/>
          </w:tcPr>
          <w:p>
            <w:pPr>
              <w:spacing w:after="0"/>
            </w:pPr>
            <w:r>
              <w:rPr>
                <w:rFonts w:ascii="Arial" w:hAnsi="Arial" w:cs="Arial" w:eastAsia="Arial"/>
                <w:b w:val="0"/>
                <w:color w:val="111111"/>
                <w:sz w:val="18"/>
                <w:szCs w:val="18"/>
              </w:rPr>
            </w:r>
          </w:p>
        </w:tc>
      </w:tr>
      <w:tr>
        <w:trPr>
          <w:cantSplit/>
        </w:trPr>
        <w:tc>
          <w:tcPr>
            <w:tcW w:type="dxa" w:w="567"/>
          </w:tcPr>
          <w:p>
            <w:pPr>
              <w:spacing w:after="0"/>
              <w:jc w:val="center"/>
            </w:pPr>
            <w:r>
              <w:rPr>
                <w:rFonts w:ascii="Segoe UI Symbol" w:hAnsi="Segoe UI Symbol" w:cs="Segoe UI Symbol" w:eastAsia="Segoe UI Symbol"/>
                <w:sz w:val="22"/>
                <w:szCs w:val="22"/>
              </w:rPr>
              <w:t>☐</w:t>
            </w:r>
          </w:p>
        </w:tc>
        <w:tc>
          <w:tcPr>
            <w:tcW w:type="dxa" w:w="6917"/>
          </w:tcPr>
          <w:p>
            <w:pPr>
              <w:spacing w:after="0"/>
            </w:pPr>
            <w:r>
              <w:rPr>
                <w:rFonts w:ascii="Arial" w:hAnsi="Arial" w:cs="Arial" w:eastAsia="Arial"/>
                <w:b/>
                <w:bCs/>
                <w:color w:val="111111"/>
                <w:sz w:val="18"/>
                <w:szCs w:val="18"/>
              </w:rPr>
              <w:t xml:space="preserve">Joiner / leaver process: </w:t>
            </w:r>
            <w:r>
              <w:rPr>
                <w:rFonts w:ascii="Arial" w:hAnsi="Arial" w:cs="Arial" w:eastAsia="Arial"/>
                <w:b w:val="0"/>
                <w:color w:val="111111"/>
                <w:sz w:val="18"/>
                <w:szCs w:val="18"/>
              </w:rPr>
              <w:t>access removed on the last working day, including vendor staff.</w:t>
            </w:r>
          </w:p>
        </w:tc>
        <w:tc>
          <w:tcPr>
            <w:tcW w:type="dxa" w:w="2268"/>
          </w:tcPr>
          <w:p>
            <w:pPr>
              <w:spacing w:after="0"/>
            </w:pPr>
            <w:r>
              <w:rPr>
                <w:rFonts w:ascii="Arial" w:hAnsi="Arial" w:cs="Arial" w:eastAsia="Arial"/>
                <w:b w:val="0"/>
                <w:color w:val="111111"/>
                <w:sz w:val="18"/>
                <w:szCs w:val="18"/>
              </w:rPr>
            </w:r>
          </w:p>
        </w:tc>
      </w:tr>
      <w:tr>
        <w:trPr>
          <w:cantSplit/>
        </w:trPr>
        <w:tc>
          <w:tcPr>
            <w:tcW w:type="dxa" w:w="567"/>
            <w:shd w:val="clear" w:color="auto" w:fill="F4F4F4"/>
          </w:tcPr>
          <w:p>
            <w:pPr>
              <w:spacing w:after="0"/>
              <w:jc w:val="center"/>
            </w:pPr>
            <w:r>
              <w:rPr>
                <w:rFonts w:ascii="Segoe UI Symbol" w:hAnsi="Segoe UI Symbol" w:cs="Segoe UI Symbol" w:eastAsia="Segoe UI Symbol"/>
                <w:sz w:val="22"/>
                <w:szCs w:val="22"/>
              </w:rPr>
              <w:t>☐</w:t>
            </w:r>
          </w:p>
        </w:tc>
        <w:tc>
          <w:tcPr>
            <w:tcW w:type="dxa" w:w="6917"/>
            <w:shd w:val="clear" w:color="auto" w:fill="F4F4F4"/>
          </w:tcPr>
          <w:p>
            <w:pPr>
              <w:spacing w:after="0"/>
            </w:pPr>
            <w:r>
              <w:rPr>
                <w:rFonts w:ascii="Arial" w:hAnsi="Arial" w:cs="Arial" w:eastAsia="Arial"/>
                <w:b/>
                <w:bCs/>
                <w:color w:val="111111"/>
                <w:sz w:val="18"/>
                <w:szCs w:val="18"/>
              </w:rPr>
              <w:t xml:space="preserve">Quarterly access review: </w:t>
            </w:r>
            <w:r>
              <w:rPr>
                <w:rFonts w:ascii="Arial" w:hAnsi="Arial" w:cs="Arial" w:eastAsia="Arial"/>
                <w:b w:val="0"/>
                <w:color w:val="111111"/>
                <w:sz w:val="18"/>
                <w:szCs w:val="18"/>
              </w:rPr>
              <w:t>print the user list for each system and confirm every name.</w:t>
            </w:r>
          </w:p>
        </w:tc>
        <w:tc>
          <w:tcPr>
            <w:tcW w:type="dxa" w:w="2268"/>
            <w:shd w:val="clear" w:color="auto" w:fill="F4F4F4"/>
          </w:tcPr>
          <w:p>
            <w:pPr>
              <w:spacing w:after="0"/>
            </w:pPr>
            <w:r>
              <w:rPr>
                <w:rFonts w:ascii="Arial" w:hAnsi="Arial" w:cs="Arial" w:eastAsia="Arial"/>
                <w:b w:val="0"/>
                <w:color w:val="111111"/>
                <w:sz w:val="18"/>
                <w:szCs w:val="18"/>
              </w:rPr>
            </w:r>
          </w:p>
        </w:tc>
      </w:tr>
      <w:tr>
        <w:trPr>
          <w:cantSplit/>
        </w:trPr>
        <w:tc>
          <w:tcPr>
            <w:tcW w:type="dxa" w:w="567"/>
          </w:tcPr>
          <w:p>
            <w:pPr>
              <w:spacing w:after="0"/>
              <w:jc w:val="center"/>
            </w:pPr>
            <w:r>
              <w:rPr>
                <w:rFonts w:ascii="Segoe UI Symbol" w:hAnsi="Segoe UI Symbol" w:cs="Segoe UI Symbol" w:eastAsia="Segoe UI Symbol"/>
                <w:sz w:val="22"/>
                <w:szCs w:val="22"/>
              </w:rPr>
              <w:t>☐</w:t>
            </w:r>
          </w:p>
        </w:tc>
        <w:tc>
          <w:tcPr>
            <w:tcW w:type="dxa" w:w="6917"/>
          </w:tcPr>
          <w:p>
            <w:pPr>
              <w:spacing w:after="0"/>
            </w:pPr>
            <w:r>
              <w:rPr>
                <w:rFonts w:ascii="Arial" w:hAnsi="Arial" w:cs="Arial" w:eastAsia="Arial"/>
                <w:b/>
                <w:bCs/>
                <w:color w:val="111111"/>
                <w:sz w:val="18"/>
                <w:szCs w:val="18"/>
              </w:rPr>
              <w:t xml:space="preserve">No personal email or messaging apps </w:t>
            </w:r>
            <w:r>
              <w:rPr>
                <w:rFonts w:ascii="Arial" w:hAnsi="Arial" w:cs="Arial" w:eastAsia="Arial"/>
                <w:b w:val="0"/>
                <w:color w:val="111111"/>
                <w:sz w:val="18"/>
                <w:szCs w:val="18"/>
              </w:rPr>
              <w:t>for payroll files, ID copies or bank details.</w:t>
            </w:r>
          </w:p>
        </w:tc>
        <w:tc>
          <w:tcPr>
            <w:tcW w:type="dxa" w:w="2268"/>
          </w:tcPr>
          <w:p>
            <w:pPr>
              <w:spacing w:after="0"/>
            </w:pPr>
            <w:r>
              <w:rPr>
                <w:rFonts w:ascii="Arial" w:hAnsi="Arial" w:cs="Arial" w:eastAsia="Arial"/>
                <w:b w:val="0"/>
                <w:color w:val="111111"/>
                <w:sz w:val="18"/>
                <w:szCs w:val="18"/>
              </w:rPr>
            </w:r>
          </w:p>
        </w:tc>
      </w:tr>
      <w:tr>
        <w:trPr>
          <w:cantSplit/>
        </w:trPr>
        <w:tc>
          <w:tcPr>
            <w:tcW w:type="dxa" w:w="567"/>
            <w:shd w:val="clear" w:color="auto" w:fill="F4F4F4"/>
          </w:tcPr>
          <w:p>
            <w:pPr>
              <w:spacing w:after="0"/>
              <w:jc w:val="center"/>
            </w:pPr>
            <w:r>
              <w:rPr>
                <w:rFonts w:ascii="Segoe UI Symbol" w:hAnsi="Segoe UI Symbol" w:cs="Segoe UI Symbol" w:eastAsia="Segoe UI Symbol"/>
                <w:sz w:val="22"/>
                <w:szCs w:val="22"/>
              </w:rPr>
              <w:t>☐</w:t>
            </w:r>
          </w:p>
        </w:tc>
        <w:tc>
          <w:tcPr>
            <w:tcW w:type="dxa" w:w="6917"/>
            <w:shd w:val="clear" w:color="auto" w:fill="F4F4F4"/>
          </w:tcPr>
          <w:p>
            <w:pPr>
              <w:spacing w:after="0"/>
            </w:pPr>
            <w:r>
              <w:rPr>
                <w:rFonts w:ascii="Arial" w:hAnsi="Arial" w:cs="Arial" w:eastAsia="Arial"/>
                <w:b/>
                <w:bCs/>
                <w:color w:val="111111"/>
                <w:sz w:val="18"/>
                <w:szCs w:val="18"/>
              </w:rPr>
              <w:t xml:space="preserve">Encrypted laptops and phones </w:t>
            </w:r>
            <w:r>
              <w:rPr>
                <w:rFonts w:ascii="Arial" w:hAnsi="Arial" w:cs="Arial" w:eastAsia="Arial"/>
                <w:b w:val="0"/>
                <w:color w:val="111111"/>
                <w:sz w:val="18"/>
                <w:szCs w:val="18"/>
              </w:rPr>
              <w:t>for anyone who opens finance files; screen lock on.</w:t>
            </w:r>
          </w:p>
        </w:tc>
        <w:tc>
          <w:tcPr>
            <w:tcW w:type="dxa" w:w="2268"/>
            <w:shd w:val="clear" w:color="auto" w:fill="F4F4F4"/>
          </w:tcPr>
          <w:p>
            <w:pPr>
              <w:spacing w:after="0"/>
            </w:pPr>
            <w:r>
              <w:rPr>
                <w:rFonts w:ascii="Arial" w:hAnsi="Arial" w:cs="Arial" w:eastAsia="Arial"/>
                <w:b w:val="0"/>
                <w:color w:val="111111"/>
                <w:sz w:val="18"/>
                <w:szCs w:val="18"/>
              </w:rPr>
            </w:r>
          </w:p>
        </w:tc>
      </w:tr>
      <w:tr>
        <w:trPr>
          <w:cantSplit/>
        </w:trPr>
        <w:tc>
          <w:tcPr>
            <w:tcW w:type="dxa" w:w="567"/>
          </w:tcPr>
          <w:p>
            <w:pPr>
              <w:spacing w:after="0"/>
              <w:jc w:val="center"/>
            </w:pPr>
            <w:r>
              <w:rPr>
                <w:rFonts w:ascii="Segoe UI Symbol" w:hAnsi="Segoe UI Symbol" w:cs="Segoe UI Symbol" w:eastAsia="Segoe UI Symbol"/>
                <w:sz w:val="22"/>
                <w:szCs w:val="22"/>
              </w:rPr>
              <w:t>☐</w:t>
            </w:r>
          </w:p>
        </w:tc>
        <w:tc>
          <w:tcPr>
            <w:tcW w:type="dxa" w:w="6917"/>
          </w:tcPr>
          <w:p>
            <w:pPr>
              <w:spacing w:after="0"/>
            </w:pPr>
            <w:r>
              <w:rPr>
                <w:rFonts w:ascii="Arial" w:hAnsi="Arial" w:cs="Arial" w:eastAsia="Arial"/>
                <w:b/>
                <w:bCs/>
                <w:color w:val="111111"/>
                <w:sz w:val="18"/>
                <w:szCs w:val="18"/>
              </w:rPr>
              <w:t xml:space="preserve">Activity logs switched on </w:t>
            </w:r>
            <w:r>
              <w:rPr>
                <w:rFonts w:ascii="Arial" w:hAnsi="Arial" w:cs="Arial" w:eastAsia="Arial"/>
                <w:b w:val="0"/>
                <w:color w:val="111111"/>
                <w:sz w:val="18"/>
                <w:szCs w:val="18"/>
              </w:rPr>
              <w:t>in the accounting system and someone knows how to export them.</w:t>
            </w:r>
          </w:p>
        </w:tc>
        <w:tc>
          <w:tcPr>
            <w:tcW w:type="dxa" w:w="2268"/>
          </w:tcPr>
          <w:p>
            <w:pPr>
              <w:spacing w:after="0"/>
            </w:pPr>
            <w:r>
              <w:rPr>
                <w:rFonts w:ascii="Arial" w:hAnsi="Arial" w:cs="Arial" w:eastAsia="Arial"/>
                <w:b w:val="0"/>
                <w:color w:val="111111"/>
                <w:sz w:val="18"/>
                <w:szCs w:val="18"/>
              </w:rPr>
            </w:r>
          </w:p>
        </w:tc>
      </w:tr>
      <w:tr>
        <w:trPr>
          <w:cantSplit/>
        </w:trPr>
        <w:tc>
          <w:tcPr>
            <w:tcW w:type="dxa" w:w="567"/>
            <w:shd w:val="clear" w:color="auto" w:fill="F4F4F4"/>
          </w:tcPr>
          <w:p>
            <w:pPr>
              <w:spacing w:after="0"/>
              <w:jc w:val="center"/>
            </w:pPr>
            <w:r>
              <w:rPr>
                <w:rFonts w:ascii="Segoe UI Symbol" w:hAnsi="Segoe UI Symbol" w:cs="Segoe UI Symbol" w:eastAsia="Segoe UI Symbol"/>
                <w:sz w:val="22"/>
                <w:szCs w:val="22"/>
              </w:rPr>
              <w:t>☐</w:t>
            </w:r>
          </w:p>
        </w:tc>
        <w:tc>
          <w:tcPr>
            <w:tcW w:type="dxa" w:w="6917"/>
            <w:shd w:val="clear" w:color="auto" w:fill="F4F4F4"/>
          </w:tcPr>
          <w:p>
            <w:pPr>
              <w:spacing w:after="0"/>
            </w:pPr>
            <w:r>
              <w:rPr>
                <w:rFonts w:ascii="Arial" w:hAnsi="Arial" w:cs="Arial" w:eastAsia="Arial"/>
                <w:b/>
                <w:bCs/>
                <w:color w:val="111111"/>
                <w:sz w:val="18"/>
                <w:szCs w:val="18"/>
              </w:rPr>
              <w:t xml:space="preserve">Backups tested: </w:t>
            </w:r>
            <w:r>
              <w:rPr>
                <w:rFonts w:ascii="Arial" w:hAnsi="Arial" w:cs="Arial" w:eastAsia="Arial"/>
                <w:b w:val="0"/>
                <w:color w:val="111111"/>
                <w:sz w:val="18"/>
                <w:szCs w:val="18"/>
              </w:rPr>
              <w:t>you have restored a file in the last 6 months.</w:t>
            </w:r>
          </w:p>
        </w:tc>
        <w:tc>
          <w:tcPr>
            <w:tcW w:type="dxa" w:w="2268"/>
            <w:shd w:val="clear" w:color="auto" w:fill="F4F4F4"/>
          </w:tcPr>
          <w:p>
            <w:pPr>
              <w:spacing w:after="0"/>
            </w:pPr>
            <w:r>
              <w:rPr>
                <w:rFonts w:ascii="Arial" w:hAnsi="Arial" w:cs="Arial" w:eastAsia="Arial"/>
                <w:b w:val="0"/>
                <w:color w:val="111111"/>
                <w:sz w:val="18"/>
                <w:szCs w:val="18"/>
              </w:rPr>
            </w:r>
          </w:p>
        </w:tc>
      </w:tr>
    </w:tbl>
    <w:p>
      <w:pPr>
        <w:spacing w:after="0" w:before="0" w:line="120" w:lineRule="exact"/>
      </w:pPr>
      <w:r>
        <w:rPr>
          <w:rFonts w:ascii="Arial" w:hAnsi="Arial" w:cs="Arial" w:eastAsia="Arial"/>
          <w:sz w:val="12"/>
          <w:szCs w:val="12"/>
        </w:rPr>
      </w:r>
    </w:p>
    <w:p>
      <w:pPr>
        <w:pStyle w:val="Heading1"/>
      </w:pPr>
      <w:r>
        <w:t>4. Retention and destruction</w:t>
      </w:r>
    </w:p>
    <w:p>
      <w:pPr>
        <w:spacing w:after="80"/>
      </w:pPr>
      <w:r>
        <w:rPr>
          <w:rFonts w:ascii="Arial" w:hAnsi="Arial" w:cs="Arial" w:eastAsia="Arial"/>
          <w:i w:val="0"/>
          <w:color w:val="111111"/>
          <w:sz w:val="20"/>
          <w:szCs w:val="20"/>
        </w:rPr>
        <w:t>The data protection laws say: keep personal data only as long as you need it, unless another law requires you to keep it longer, then destroy it securely. For example, Saudi PDPL Art. 18 requires destruction once the purpose ends, but retention where there is a legal basis for a specific period. Tax, commercial and labour laws set minimum record-keeping periods for finance records.</w:t>
      </w:r>
    </w:p>
    <w:tbl>
      <w:tblPr>
        <w:tblW w:type="dxa" w:w="9753"/>
        <w:jc w:val="center"/>
        <w:tblLayout w:type="fixed"/>
        <w:tblCellMar>
          <w:top w:w="100" w:type="dxa"/>
          <w:left w:w="160" w:type="dxa"/>
          <w:bottom w:w="100" w:type="dxa"/>
          <w:right w:w="140" w:type="dxa"/>
        </w:tblCellMar>
        <w:tblLook w:firstColumn="1" w:firstRow="1" w:lastColumn="0" w:lastRow="0" w:noHBand="0" w:noVBand="1" w:val="04A0"/>
      </w:tblPr>
      <w:tblGrid>
        <w:gridCol w:w="9753"/>
      </w:tblGrid>
      <w:tr>
        <w:tc>
          <w:tcPr>
            <w:tcW w:type="dxa" w:w="9752"/>
            <w:tcBorders>
              <w:top w:val="nil"/>
              <w:left w:val="single" w:sz="24" w:space="0" w:color="CC1923"/>
              <w:bottom w:val="nil"/>
              <w:right w:val="nil"/>
            </w:tcBorders>
            <w:shd w:val="clear" w:color="auto" w:fill="F4F4F4"/>
          </w:tcPr>
          <w:p>
            <w:pPr>
              <w:spacing w:after="0"/>
            </w:pPr>
            <w:r>
              <w:rPr>
                <w:rFonts w:ascii="Arial" w:hAnsi="Arial" w:cs="Arial" w:eastAsia="Arial"/>
                <w:b/>
                <w:bCs/>
                <w:color w:val="111111"/>
                <w:sz w:val="18"/>
                <w:szCs w:val="18"/>
              </w:rPr>
              <w:t xml:space="preserve">Do not guess the periods. </w:t>
            </w:r>
            <w:r>
              <w:rPr>
                <w:rFonts w:ascii="Arial" w:hAnsi="Arial" w:cs="Arial" w:eastAsia="Arial"/>
                <w:color w:val="111111"/>
                <w:sz w:val="18"/>
                <w:szCs w:val="18"/>
              </w:rPr>
              <w:t>Enter the minimum period from your tax authority (ZATCA, UAE FTA, Egyptian Tax Authority), commercial law and labour law, and note where you found it. Your auditor or tax adviser can confirm.</w:t>
            </w:r>
          </w:p>
        </w:tc>
      </w:tr>
    </w:tbl>
    <w:p>
      <w:pPr>
        <w:spacing w:after="0" w:before="0" w:line="80" w:lineRule="exact"/>
      </w:pPr>
      <w:r>
        <w:rPr>
          <w:rFonts w:ascii="Arial" w:hAnsi="Arial" w:cs="Arial" w:eastAsia="Arial"/>
          <w:sz w:val="8"/>
          <w:szCs w:val="8"/>
        </w:rPr>
      </w:r>
    </w:p>
    <w:tbl>
      <w:tblPr>
        <w:tblW w:type="dxa" w:w="9752"/>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60" w:type="dxa"/>
          <w:left w:w="90" w:type="dxa"/>
          <w:bottom w:w="60" w:type="dxa"/>
          <w:right w:w="90" w:type="dxa"/>
        </w:tblCellMar>
        <w:tblLook w:firstColumn="1" w:firstRow="1" w:lastColumn="0" w:lastRow="0" w:noHBand="0" w:noVBand="1" w:val="04A0"/>
      </w:tblPr>
      <w:tblGrid>
        <w:gridCol w:w="2835"/>
        <w:gridCol w:w="2608"/>
        <w:gridCol w:w="1927"/>
        <w:gridCol w:w="2381"/>
      </w:tblGrid>
      <w:tr>
        <w:trPr>
          <w:cantSplit/>
          <w:tblHeader/>
        </w:trPr>
        <w:tc>
          <w:tcPr>
            <w:tcW w:type="dxa" w:w="2835"/>
            <w:shd w:val="clear" w:color="auto" w:fill="111111"/>
          </w:tcPr>
          <w:p>
            <w:pPr>
              <w:spacing w:after="0"/>
            </w:pPr>
            <w:r>
              <w:rPr>
                <w:rFonts w:ascii="Arial" w:hAnsi="Arial" w:cs="Arial" w:eastAsia="Arial"/>
                <w:b/>
                <w:bCs/>
                <w:color w:val="FFFFFF"/>
                <w:sz w:val="17"/>
                <w:szCs w:val="17"/>
              </w:rPr>
              <w:t>Record type</w:t>
            </w:r>
          </w:p>
        </w:tc>
        <w:tc>
          <w:tcPr>
            <w:tcW w:type="dxa" w:w="2608"/>
            <w:shd w:val="clear" w:color="auto" w:fill="111111"/>
          </w:tcPr>
          <w:p>
            <w:pPr>
              <w:spacing w:after="0"/>
            </w:pPr>
            <w:r>
              <w:rPr>
                <w:rFonts w:ascii="Arial" w:hAnsi="Arial" w:cs="Arial" w:eastAsia="Arial"/>
                <w:b/>
                <w:bCs/>
                <w:color w:val="FFFFFF"/>
                <w:sz w:val="17"/>
                <w:szCs w:val="17"/>
              </w:rPr>
              <w:t>Legal minimum (enter + source)</w:t>
            </w:r>
          </w:p>
        </w:tc>
        <w:tc>
          <w:tcPr>
            <w:tcW w:type="dxa" w:w="1928"/>
            <w:shd w:val="clear" w:color="auto" w:fill="111111"/>
          </w:tcPr>
          <w:p>
            <w:pPr>
              <w:spacing w:after="0"/>
            </w:pPr>
            <w:r>
              <w:rPr>
                <w:rFonts w:ascii="Arial" w:hAnsi="Arial" w:cs="Arial" w:eastAsia="Arial"/>
                <w:b/>
                <w:bCs/>
                <w:color w:val="FFFFFF"/>
                <w:sz w:val="17"/>
                <w:szCs w:val="17"/>
              </w:rPr>
              <w:t>Our rule</w:t>
            </w:r>
          </w:p>
        </w:tc>
        <w:tc>
          <w:tcPr>
            <w:tcW w:type="dxa" w:w="2381"/>
            <w:shd w:val="clear" w:color="auto" w:fill="111111"/>
          </w:tcPr>
          <w:p>
            <w:pPr>
              <w:spacing w:after="0"/>
            </w:pPr>
            <w:r>
              <w:rPr>
                <w:rFonts w:ascii="Arial" w:hAnsi="Arial" w:cs="Arial" w:eastAsia="Arial"/>
                <w:b/>
                <w:bCs/>
                <w:color w:val="FFFFFF"/>
                <w:sz w:val="17"/>
                <w:szCs w:val="17"/>
              </w:rPr>
              <w:t>Destroy how / who</w:t>
            </w:r>
          </w:p>
        </w:tc>
      </w:tr>
      <w:tr>
        <w:trPr>
          <w:cantSplit/>
          <w:trHeight w:val="425"/>
        </w:trPr>
        <w:tc>
          <w:tcPr>
            <w:tcW w:type="dxa" w:w="2835"/>
          </w:tcPr>
          <w:p>
            <w:pPr>
              <w:spacing w:after="0"/>
            </w:pPr>
            <w:r>
              <w:rPr>
                <w:rFonts w:ascii="Arial" w:hAnsi="Arial" w:cs="Arial" w:eastAsia="Arial"/>
                <w:b w:val="0"/>
                <w:color w:val="111111"/>
                <w:sz w:val="17"/>
                <w:szCs w:val="17"/>
              </w:rPr>
              <w:t>Accounting books, ledgers, invoices</w:t>
            </w:r>
          </w:p>
        </w:tc>
        <w:tc>
          <w:tcPr>
            <w:tcW w:type="dxa" w:w="2608"/>
          </w:tcPr>
          <w:p>
            <w:pPr>
              <w:spacing w:after="0"/>
            </w:pPr>
            <w:r>
              <w:rPr>
                <w:rFonts w:ascii="Arial" w:hAnsi="Arial" w:cs="Arial" w:eastAsia="Arial"/>
                <w:b w:val="0"/>
                <w:color w:val="111111"/>
                <w:sz w:val="17"/>
                <w:szCs w:val="17"/>
              </w:rPr>
            </w:r>
          </w:p>
        </w:tc>
        <w:tc>
          <w:tcPr>
            <w:tcW w:type="dxa" w:w="1928"/>
          </w:tcPr>
          <w:p>
            <w:pPr>
              <w:spacing w:after="0"/>
            </w:pPr>
            <w:r>
              <w:rPr>
                <w:rFonts w:ascii="Arial" w:hAnsi="Arial" w:cs="Arial" w:eastAsia="Arial"/>
                <w:b w:val="0"/>
                <w:color w:val="111111"/>
                <w:sz w:val="17"/>
                <w:szCs w:val="17"/>
              </w:rPr>
            </w:r>
          </w:p>
        </w:tc>
        <w:tc>
          <w:tcPr>
            <w:tcW w:type="dxa" w:w="2381"/>
          </w:tcPr>
          <w:p>
            <w:pPr>
              <w:spacing w:after="0"/>
            </w:pPr>
            <w:r>
              <w:rPr>
                <w:rFonts w:ascii="Arial" w:hAnsi="Arial" w:cs="Arial" w:eastAsia="Arial"/>
                <w:b w:val="0"/>
                <w:color w:val="111111"/>
                <w:sz w:val="17"/>
                <w:szCs w:val="17"/>
              </w:rPr>
            </w:r>
          </w:p>
        </w:tc>
      </w:tr>
      <w:tr>
        <w:trPr>
          <w:cantSplit/>
          <w:trHeight w:val="425"/>
        </w:trPr>
        <w:tc>
          <w:tcPr>
            <w:tcW w:type="dxa" w:w="2835"/>
            <w:shd w:val="clear" w:color="auto" w:fill="F4F4F4"/>
          </w:tcPr>
          <w:p>
            <w:pPr>
              <w:spacing w:after="0"/>
            </w:pPr>
            <w:r>
              <w:rPr>
                <w:rFonts w:ascii="Arial" w:hAnsi="Arial" w:cs="Arial" w:eastAsia="Arial"/>
                <w:b w:val="0"/>
                <w:color w:val="111111"/>
                <w:sz w:val="17"/>
                <w:szCs w:val="17"/>
              </w:rPr>
              <w:t>VAT / tax returns and supporting records</w:t>
            </w:r>
          </w:p>
        </w:tc>
        <w:tc>
          <w:tcPr>
            <w:tcW w:type="dxa" w:w="2608"/>
            <w:shd w:val="clear" w:color="auto" w:fill="F4F4F4"/>
          </w:tcPr>
          <w:p>
            <w:pPr>
              <w:spacing w:after="0"/>
            </w:pPr>
            <w:r>
              <w:rPr>
                <w:rFonts w:ascii="Arial" w:hAnsi="Arial" w:cs="Arial" w:eastAsia="Arial"/>
                <w:b w:val="0"/>
                <w:color w:val="111111"/>
                <w:sz w:val="17"/>
                <w:szCs w:val="17"/>
              </w:rPr>
            </w:r>
          </w:p>
        </w:tc>
        <w:tc>
          <w:tcPr>
            <w:tcW w:type="dxa" w:w="1928"/>
            <w:shd w:val="clear" w:color="auto" w:fill="F4F4F4"/>
          </w:tcPr>
          <w:p>
            <w:pPr>
              <w:spacing w:after="0"/>
            </w:pPr>
            <w:r>
              <w:rPr>
                <w:rFonts w:ascii="Arial" w:hAnsi="Arial" w:cs="Arial" w:eastAsia="Arial"/>
                <w:b w:val="0"/>
                <w:color w:val="111111"/>
                <w:sz w:val="17"/>
                <w:szCs w:val="17"/>
              </w:rPr>
            </w:r>
          </w:p>
        </w:tc>
        <w:tc>
          <w:tcPr>
            <w:tcW w:type="dxa" w:w="2381"/>
            <w:shd w:val="clear" w:color="auto" w:fill="F4F4F4"/>
          </w:tcPr>
          <w:p>
            <w:pPr>
              <w:spacing w:after="0"/>
            </w:pPr>
            <w:r>
              <w:rPr>
                <w:rFonts w:ascii="Arial" w:hAnsi="Arial" w:cs="Arial" w:eastAsia="Arial"/>
                <w:b w:val="0"/>
                <w:color w:val="111111"/>
                <w:sz w:val="17"/>
                <w:szCs w:val="17"/>
              </w:rPr>
            </w:r>
          </w:p>
        </w:tc>
      </w:tr>
      <w:tr>
        <w:trPr>
          <w:cantSplit/>
          <w:trHeight w:val="425"/>
        </w:trPr>
        <w:tc>
          <w:tcPr>
            <w:tcW w:type="dxa" w:w="2835"/>
          </w:tcPr>
          <w:p>
            <w:pPr>
              <w:spacing w:after="0"/>
            </w:pPr>
            <w:r>
              <w:rPr>
                <w:rFonts w:ascii="Arial" w:hAnsi="Arial" w:cs="Arial" w:eastAsia="Arial"/>
                <w:b w:val="0"/>
                <w:color w:val="111111"/>
                <w:sz w:val="17"/>
                <w:szCs w:val="17"/>
              </w:rPr>
              <w:t>Payroll and employee files (after leaving)</w:t>
            </w:r>
          </w:p>
        </w:tc>
        <w:tc>
          <w:tcPr>
            <w:tcW w:type="dxa" w:w="2608"/>
          </w:tcPr>
          <w:p>
            <w:pPr>
              <w:spacing w:after="0"/>
            </w:pPr>
            <w:r>
              <w:rPr>
                <w:rFonts w:ascii="Arial" w:hAnsi="Arial" w:cs="Arial" w:eastAsia="Arial"/>
                <w:b w:val="0"/>
                <w:color w:val="111111"/>
                <w:sz w:val="17"/>
                <w:szCs w:val="17"/>
              </w:rPr>
            </w:r>
          </w:p>
        </w:tc>
        <w:tc>
          <w:tcPr>
            <w:tcW w:type="dxa" w:w="1928"/>
          </w:tcPr>
          <w:p>
            <w:pPr>
              <w:spacing w:after="0"/>
            </w:pPr>
            <w:r>
              <w:rPr>
                <w:rFonts w:ascii="Arial" w:hAnsi="Arial" w:cs="Arial" w:eastAsia="Arial"/>
                <w:b w:val="0"/>
                <w:color w:val="111111"/>
                <w:sz w:val="17"/>
                <w:szCs w:val="17"/>
              </w:rPr>
            </w:r>
          </w:p>
        </w:tc>
        <w:tc>
          <w:tcPr>
            <w:tcW w:type="dxa" w:w="2381"/>
          </w:tcPr>
          <w:p>
            <w:pPr>
              <w:spacing w:after="0"/>
            </w:pPr>
            <w:r>
              <w:rPr>
                <w:rFonts w:ascii="Arial" w:hAnsi="Arial" w:cs="Arial" w:eastAsia="Arial"/>
                <w:b w:val="0"/>
                <w:color w:val="111111"/>
                <w:sz w:val="17"/>
                <w:szCs w:val="17"/>
              </w:rPr>
            </w:r>
          </w:p>
        </w:tc>
      </w:tr>
      <w:tr>
        <w:trPr>
          <w:cantSplit/>
          <w:trHeight w:val="425"/>
        </w:trPr>
        <w:tc>
          <w:tcPr>
            <w:tcW w:type="dxa" w:w="2835"/>
            <w:shd w:val="clear" w:color="auto" w:fill="F4F4F4"/>
          </w:tcPr>
          <w:p>
            <w:pPr>
              <w:spacing w:after="0"/>
            </w:pPr>
            <w:r>
              <w:rPr>
                <w:rFonts w:ascii="Arial" w:hAnsi="Arial" w:cs="Arial" w:eastAsia="Arial"/>
                <w:b w:val="0"/>
                <w:color w:val="111111"/>
                <w:sz w:val="17"/>
                <w:szCs w:val="17"/>
              </w:rPr>
              <w:t>ID and passport copies</w:t>
            </w:r>
          </w:p>
        </w:tc>
        <w:tc>
          <w:tcPr>
            <w:tcW w:type="dxa" w:w="2608"/>
            <w:shd w:val="clear" w:color="auto" w:fill="F4F4F4"/>
          </w:tcPr>
          <w:p>
            <w:pPr>
              <w:spacing w:after="0"/>
            </w:pPr>
            <w:r>
              <w:rPr>
                <w:rFonts w:ascii="Arial" w:hAnsi="Arial" w:cs="Arial" w:eastAsia="Arial"/>
                <w:b w:val="0"/>
                <w:color w:val="111111"/>
                <w:sz w:val="17"/>
                <w:szCs w:val="17"/>
              </w:rPr>
            </w:r>
          </w:p>
        </w:tc>
        <w:tc>
          <w:tcPr>
            <w:tcW w:type="dxa" w:w="1928"/>
            <w:shd w:val="clear" w:color="auto" w:fill="F4F4F4"/>
          </w:tcPr>
          <w:p>
            <w:pPr>
              <w:spacing w:after="0"/>
            </w:pPr>
            <w:r>
              <w:rPr>
                <w:rFonts w:ascii="Arial" w:hAnsi="Arial" w:cs="Arial" w:eastAsia="Arial"/>
                <w:b w:val="0"/>
                <w:color w:val="111111"/>
                <w:sz w:val="17"/>
                <w:szCs w:val="17"/>
              </w:rPr>
            </w:r>
          </w:p>
        </w:tc>
        <w:tc>
          <w:tcPr>
            <w:tcW w:type="dxa" w:w="2381"/>
            <w:shd w:val="clear" w:color="auto" w:fill="F4F4F4"/>
          </w:tcPr>
          <w:p>
            <w:pPr>
              <w:spacing w:after="0"/>
            </w:pPr>
            <w:r>
              <w:rPr>
                <w:rFonts w:ascii="Arial" w:hAnsi="Arial" w:cs="Arial" w:eastAsia="Arial"/>
                <w:b w:val="0"/>
                <w:color w:val="111111"/>
                <w:sz w:val="17"/>
                <w:szCs w:val="17"/>
              </w:rPr>
            </w:r>
          </w:p>
        </w:tc>
      </w:tr>
      <w:tr>
        <w:trPr>
          <w:cantSplit/>
          <w:trHeight w:val="425"/>
        </w:trPr>
        <w:tc>
          <w:tcPr>
            <w:tcW w:type="dxa" w:w="2835"/>
          </w:tcPr>
          <w:p>
            <w:pPr>
              <w:spacing w:after="0"/>
            </w:pPr>
            <w:r>
              <w:rPr>
                <w:rFonts w:ascii="Arial" w:hAnsi="Arial" w:cs="Arial" w:eastAsia="Arial"/>
                <w:b w:val="0"/>
                <w:color w:val="111111"/>
                <w:sz w:val="17"/>
                <w:szCs w:val="17"/>
              </w:rPr>
              <w:t>Customer credit and collection files</w:t>
            </w:r>
          </w:p>
        </w:tc>
        <w:tc>
          <w:tcPr>
            <w:tcW w:type="dxa" w:w="2608"/>
          </w:tcPr>
          <w:p>
            <w:pPr>
              <w:spacing w:after="0"/>
            </w:pPr>
            <w:r>
              <w:rPr>
                <w:rFonts w:ascii="Arial" w:hAnsi="Arial" w:cs="Arial" w:eastAsia="Arial"/>
                <w:b w:val="0"/>
                <w:color w:val="111111"/>
                <w:sz w:val="17"/>
                <w:szCs w:val="17"/>
              </w:rPr>
            </w:r>
          </w:p>
        </w:tc>
        <w:tc>
          <w:tcPr>
            <w:tcW w:type="dxa" w:w="1928"/>
          </w:tcPr>
          <w:p>
            <w:pPr>
              <w:spacing w:after="0"/>
            </w:pPr>
            <w:r>
              <w:rPr>
                <w:rFonts w:ascii="Arial" w:hAnsi="Arial" w:cs="Arial" w:eastAsia="Arial"/>
                <w:b w:val="0"/>
                <w:color w:val="111111"/>
                <w:sz w:val="17"/>
                <w:szCs w:val="17"/>
              </w:rPr>
            </w:r>
          </w:p>
        </w:tc>
        <w:tc>
          <w:tcPr>
            <w:tcW w:type="dxa" w:w="2381"/>
          </w:tcPr>
          <w:p>
            <w:pPr>
              <w:spacing w:after="0"/>
            </w:pPr>
            <w:r>
              <w:rPr>
                <w:rFonts w:ascii="Arial" w:hAnsi="Arial" w:cs="Arial" w:eastAsia="Arial"/>
                <w:b w:val="0"/>
                <w:color w:val="111111"/>
                <w:sz w:val="17"/>
                <w:szCs w:val="17"/>
              </w:rPr>
            </w:r>
          </w:p>
        </w:tc>
      </w:tr>
      <w:tr>
        <w:trPr>
          <w:cantSplit/>
          <w:trHeight w:val="425"/>
        </w:trPr>
        <w:tc>
          <w:tcPr>
            <w:tcW w:type="dxa" w:w="2835"/>
            <w:shd w:val="clear" w:color="auto" w:fill="F4F4F4"/>
          </w:tcPr>
          <w:p>
            <w:pPr>
              <w:spacing w:after="0"/>
            </w:pPr>
            <w:r>
              <w:rPr>
                <w:rFonts w:ascii="Arial" w:hAnsi="Arial" w:cs="Arial" w:eastAsia="Arial"/>
                <w:b w:val="0"/>
                <w:color w:val="111111"/>
                <w:sz w:val="17"/>
                <w:szCs w:val="17"/>
              </w:rPr>
              <w:t>Bank statements</w:t>
            </w:r>
          </w:p>
        </w:tc>
        <w:tc>
          <w:tcPr>
            <w:tcW w:type="dxa" w:w="2608"/>
            <w:shd w:val="clear" w:color="auto" w:fill="F4F4F4"/>
          </w:tcPr>
          <w:p>
            <w:pPr>
              <w:spacing w:after="0"/>
            </w:pPr>
            <w:r>
              <w:rPr>
                <w:rFonts w:ascii="Arial" w:hAnsi="Arial" w:cs="Arial" w:eastAsia="Arial"/>
                <w:b w:val="0"/>
                <w:color w:val="111111"/>
                <w:sz w:val="17"/>
                <w:szCs w:val="17"/>
              </w:rPr>
            </w:r>
          </w:p>
        </w:tc>
        <w:tc>
          <w:tcPr>
            <w:tcW w:type="dxa" w:w="1928"/>
            <w:shd w:val="clear" w:color="auto" w:fill="F4F4F4"/>
          </w:tcPr>
          <w:p>
            <w:pPr>
              <w:spacing w:after="0"/>
            </w:pPr>
            <w:r>
              <w:rPr>
                <w:rFonts w:ascii="Arial" w:hAnsi="Arial" w:cs="Arial" w:eastAsia="Arial"/>
                <w:b w:val="0"/>
                <w:color w:val="111111"/>
                <w:sz w:val="17"/>
                <w:szCs w:val="17"/>
              </w:rPr>
            </w:r>
          </w:p>
        </w:tc>
        <w:tc>
          <w:tcPr>
            <w:tcW w:type="dxa" w:w="2381"/>
            <w:shd w:val="clear" w:color="auto" w:fill="F4F4F4"/>
          </w:tcPr>
          <w:p>
            <w:pPr>
              <w:spacing w:after="0"/>
            </w:pPr>
            <w:r>
              <w:rPr>
                <w:rFonts w:ascii="Arial" w:hAnsi="Arial" w:cs="Arial" w:eastAsia="Arial"/>
                <w:b w:val="0"/>
                <w:color w:val="111111"/>
                <w:sz w:val="17"/>
                <w:szCs w:val="17"/>
              </w:rPr>
            </w:r>
          </w:p>
        </w:tc>
      </w:tr>
    </w:tbl>
    <w:p>
      <w:pPr>
        <w:spacing w:after="0" w:before="0" w:line="120" w:lineRule="exact"/>
      </w:pPr>
      <w:r>
        <w:rPr>
          <w:rFonts w:ascii="Arial" w:hAnsi="Arial" w:cs="Arial" w:eastAsia="Arial"/>
          <w:sz w:val="12"/>
          <w:szCs w:val="12"/>
        </w:rPr>
      </w:r>
    </w:p>
    <w:p>
      <w:pPr>
        <w:spacing w:after="40"/>
        <w:ind w:left="340" w:hanging="255"/>
      </w:pPr>
      <w:r>
        <w:rPr>
          <w:rFonts w:ascii="Arial" w:hAnsi="Arial" w:cs="Arial" w:eastAsia="Arial"/>
          <w:color w:val="CC1923"/>
          <w:sz w:val="19"/>
          <w:szCs w:val="19"/>
        </w:rPr>
        <w:t xml:space="preserve">•  </w:t>
      </w:r>
      <w:r>
        <w:rPr>
          <w:rFonts w:ascii="Arial" w:hAnsi="Arial" w:cs="Arial" w:eastAsia="Arial"/>
          <w:sz w:val="19"/>
          <w:szCs w:val="19"/>
        </w:rPr>
        <w:t>Destruction covers every copy: email attachments, shared drives, laptops, backups and the vendor's systems.</w:t>
      </w:r>
    </w:p>
    <w:p>
      <w:pPr>
        <w:spacing w:after="40"/>
        <w:ind w:left="340" w:hanging="255"/>
      </w:pPr>
      <w:r>
        <w:rPr>
          <w:rFonts w:ascii="Arial" w:hAnsi="Arial" w:cs="Arial" w:eastAsia="Arial"/>
          <w:color w:val="CC1923"/>
          <w:sz w:val="19"/>
          <w:szCs w:val="19"/>
        </w:rPr>
        <w:t xml:space="preserve">•  </w:t>
      </w:r>
      <w:r>
        <w:rPr>
          <w:rFonts w:ascii="Arial" w:hAnsi="Arial" w:cs="Arial" w:eastAsia="Arial"/>
          <w:sz w:val="19"/>
          <w:szCs w:val="19"/>
        </w:rPr>
        <w:t>Keep a short destruction log (date, record type, method, who approved).</w:t>
      </w:r>
    </w:p>
    <w:p>
      <w:pPr>
        <w:pStyle w:val="Heading1"/>
      </w:pPr>
      <w:r>
        <w:t>5. Vendors who touch your finance data</w:t>
      </w:r>
    </w:p>
    <w:p>
      <w:pPr>
        <w:spacing w:after="80"/>
      </w:pPr>
      <w:r>
        <w:rPr>
          <w:rFonts w:ascii="Arial" w:hAnsi="Arial" w:cs="Arial" w:eastAsia="Arial"/>
          <w:i w:val="0"/>
          <w:color w:val="111111"/>
          <w:sz w:val="20"/>
          <w:szCs w:val="20"/>
        </w:rPr>
        <w:t>Outsourced accountants, payroll bureaus, cloud accounting software, banks' cash-management portals, auditors and IT support may all process personal data for you. Under the Saudi PDPL you must choose processors that give sufficient guarantees and monitor them (PDPL Art. 8); the Implementing Regulation (Art. 17) lists what the contract must contain. Use this list for every vendor.</w:t>
      </w:r>
    </w:p>
    <w:p>
      <w:pPr>
        <w:pStyle w:val="Heading2"/>
      </w:pPr>
      <w:r>
        <w:t>5a. Contract clauses to look for</w:t>
      </w:r>
    </w:p>
    <w:tbl>
      <w:tblPr>
        <w:tblW w:type="dxa" w:w="9752"/>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60" w:type="dxa"/>
          <w:left w:w="90" w:type="dxa"/>
          <w:bottom w:w="60" w:type="dxa"/>
          <w:right w:w="90" w:type="dxa"/>
        </w:tblCellMar>
        <w:tblLook w:firstColumn="1" w:firstRow="1" w:lastColumn="0" w:lastRow="0" w:noHBand="0" w:noVBand="1" w:val="04A0"/>
      </w:tblPr>
      <w:tblGrid>
        <w:gridCol w:w="567"/>
        <w:gridCol w:w="5783"/>
        <w:gridCol w:w="3402"/>
      </w:tblGrid>
      <w:tr>
        <w:trPr>
          <w:cantSplit/>
          <w:tblHeader/>
        </w:trPr>
        <w:tc>
          <w:tcPr>
            <w:tcW w:type="dxa" w:w="567"/>
            <w:shd w:val="clear" w:color="auto" w:fill="111111"/>
          </w:tcPr>
          <w:p>
            <w:pPr>
              <w:spacing w:after="0"/>
            </w:pPr>
            <w:r>
              <w:rPr>
                <w:rFonts w:ascii="Arial" w:hAnsi="Arial" w:cs="Arial" w:eastAsia="Arial"/>
                <w:b/>
                <w:bCs/>
                <w:color w:val="FFFFFF"/>
                <w:sz w:val="17"/>
                <w:szCs w:val="17"/>
              </w:rPr>
            </w:r>
          </w:p>
        </w:tc>
        <w:tc>
          <w:tcPr>
            <w:tcW w:type="dxa" w:w="5783"/>
            <w:shd w:val="clear" w:color="auto" w:fill="111111"/>
          </w:tcPr>
          <w:p>
            <w:pPr>
              <w:spacing w:after="0"/>
            </w:pPr>
            <w:r>
              <w:rPr>
                <w:rFonts w:ascii="Arial" w:hAnsi="Arial" w:cs="Arial" w:eastAsia="Arial"/>
                <w:b/>
                <w:bCs/>
                <w:color w:val="FFFFFF"/>
                <w:sz w:val="17"/>
                <w:szCs w:val="17"/>
              </w:rPr>
              <w:t>Clause</w:t>
            </w:r>
          </w:p>
        </w:tc>
        <w:tc>
          <w:tcPr>
            <w:tcW w:type="dxa" w:w="3402"/>
            <w:shd w:val="clear" w:color="auto" w:fill="111111"/>
          </w:tcPr>
          <w:p>
            <w:pPr>
              <w:spacing w:after="0"/>
            </w:pPr>
            <w:r>
              <w:rPr>
                <w:rFonts w:ascii="Arial" w:hAnsi="Arial" w:cs="Arial" w:eastAsia="Arial"/>
                <w:b/>
                <w:bCs/>
                <w:color w:val="FFFFFF"/>
                <w:sz w:val="17"/>
                <w:szCs w:val="17"/>
              </w:rPr>
              <w:t>Why</w:t>
            </w:r>
          </w:p>
        </w:tc>
      </w:tr>
      <w:tr>
        <w:trPr>
          <w:cantSplit/>
        </w:trPr>
        <w:tc>
          <w:tcPr>
            <w:tcW w:type="dxa" w:w="567"/>
          </w:tcPr>
          <w:p>
            <w:pPr>
              <w:spacing w:after="0"/>
              <w:jc w:val="center"/>
            </w:pPr>
            <w:r>
              <w:rPr>
                <w:rFonts w:ascii="Segoe UI Symbol" w:hAnsi="Segoe UI Symbol" w:cs="Segoe UI Symbol" w:eastAsia="Segoe UI Symbol"/>
                <w:sz w:val="21"/>
                <w:szCs w:val="21"/>
              </w:rPr>
              <w:t>☐</w:t>
            </w:r>
          </w:p>
        </w:tc>
        <w:tc>
          <w:tcPr>
            <w:tcW w:type="dxa" w:w="5783"/>
          </w:tcPr>
          <w:p>
            <w:pPr>
              <w:spacing w:after="0"/>
            </w:pPr>
            <w:r>
              <w:rPr>
                <w:rFonts w:ascii="Arial" w:hAnsi="Arial" w:cs="Arial" w:eastAsia="Arial"/>
                <w:b w:val="0"/>
                <w:color w:val="111111"/>
                <w:sz w:val="17"/>
                <w:szCs w:val="17"/>
              </w:rPr>
              <w:t>Purpose, categories of personal data and duration of processing are written down.</w:t>
            </w:r>
          </w:p>
        </w:tc>
        <w:tc>
          <w:tcPr>
            <w:tcW w:type="dxa" w:w="3402"/>
          </w:tcPr>
          <w:p>
            <w:pPr>
              <w:spacing w:after="0"/>
            </w:pPr>
            <w:r>
              <w:rPr>
                <w:rFonts w:ascii="Arial" w:hAnsi="Arial" w:cs="Arial" w:eastAsia="Arial"/>
                <w:b w:val="0"/>
                <w:color w:val="111111"/>
                <w:sz w:val="17"/>
                <w:szCs w:val="17"/>
              </w:rPr>
              <w:t>Required in KSA (Impl. Reg. Art. 17).</w:t>
            </w:r>
          </w:p>
        </w:tc>
      </w:tr>
      <w:tr>
        <w:trPr>
          <w:cantSplit/>
        </w:trPr>
        <w:tc>
          <w:tcPr>
            <w:tcW w:type="dxa" w:w="567"/>
            <w:shd w:val="clear" w:color="auto" w:fill="F4F4F4"/>
          </w:tcPr>
          <w:p>
            <w:pPr>
              <w:spacing w:after="0"/>
              <w:jc w:val="center"/>
            </w:pPr>
            <w:r>
              <w:rPr>
                <w:rFonts w:ascii="Segoe UI Symbol" w:hAnsi="Segoe UI Symbol" w:cs="Segoe UI Symbol" w:eastAsia="Segoe UI Symbol"/>
                <w:sz w:val="21"/>
                <w:szCs w:val="21"/>
              </w:rPr>
              <w:t>☐</w:t>
            </w:r>
          </w:p>
        </w:tc>
        <w:tc>
          <w:tcPr>
            <w:tcW w:type="dxa" w:w="5783"/>
            <w:shd w:val="clear" w:color="auto" w:fill="F4F4F4"/>
          </w:tcPr>
          <w:p>
            <w:pPr>
              <w:spacing w:after="0"/>
            </w:pPr>
            <w:r>
              <w:rPr>
                <w:rFonts w:ascii="Arial" w:hAnsi="Arial" w:cs="Arial" w:eastAsia="Arial"/>
                <w:b w:val="0"/>
                <w:color w:val="111111"/>
                <w:sz w:val="17"/>
                <w:szCs w:val="17"/>
              </w:rPr>
              <w:t>Vendor processes only on your written instructions; tells you in writing if an instruction would break the law.</w:t>
            </w:r>
          </w:p>
        </w:tc>
        <w:tc>
          <w:tcPr>
            <w:tcW w:type="dxa" w:w="3402"/>
            <w:shd w:val="clear" w:color="auto" w:fill="F4F4F4"/>
          </w:tcPr>
          <w:p>
            <w:pPr>
              <w:spacing w:after="0"/>
            </w:pPr>
            <w:r>
              <w:rPr>
                <w:rFonts w:ascii="Arial" w:hAnsi="Arial" w:cs="Arial" w:eastAsia="Arial"/>
                <w:b w:val="0"/>
                <w:color w:val="111111"/>
                <w:sz w:val="17"/>
                <w:szCs w:val="17"/>
              </w:rPr>
              <w:t>KSA Art. 17(2); good practice everywhere.</w:t>
            </w:r>
          </w:p>
        </w:tc>
      </w:tr>
      <w:tr>
        <w:trPr>
          <w:cantSplit/>
        </w:trPr>
        <w:tc>
          <w:tcPr>
            <w:tcW w:type="dxa" w:w="567"/>
          </w:tcPr>
          <w:p>
            <w:pPr>
              <w:spacing w:after="0"/>
              <w:jc w:val="center"/>
            </w:pPr>
            <w:r>
              <w:rPr>
                <w:rFonts w:ascii="Segoe UI Symbol" w:hAnsi="Segoe UI Symbol" w:cs="Segoe UI Symbol" w:eastAsia="Segoe UI Symbol"/>
                <w:sz w:val="21"/>
                <w:szCs w:val="21"/>
              </w:rPr>
              <w:t>☐</w:t>
            </w:r>
          </w:p>
        </w:tc>
        <w:tc>
          <w:tcPr>
            <w:tcW w:type="dxa" w:w="5783"/>
          </w:tcPr>
          <w:p>
            <w:pPr>
              <w:spacing w:after="0"/>
            </w:pPr>
            <w:r>
              <w:rPr>
                <w:rFonts w:ascii="Arial" w:hAnsi="Arial" w:cs="Arial" w:eastAsia="Arial"/>
                <w:b w:val="0"/>
                <w:color w:val="111111"/>
                <w:sz w:val="17"/>
                <w:szCs w:val="17"/>
              </w:rPr>
              <w:t>Vendor tells you about any breach without undue delay (agree a number of hours).</w:t>
            </w:r>
          </w:p>
        </w:tc>
        <w:tc>
          <w:tcPr>
            <w:tcW w:type="dxa" w:w="3402"/>
          </w:tcPr>
          <w:p>
            <w:pPr>
              <w:spacing w:after="0"/>
            </w:pPr>
            <w:r>
              <w:rPr>
                <w:rFonts w:ascii="Arial" w:hAnsi="Arial" w:cs="Arial" w:eastAsia="Arial"/>
                <w:b w:val="0"/>
                <w:color w:val="111111"/>
                <w:sz w:val="17"/>
                <w:szCs w:val="17"/>
              </w:rPr>
              <w:t>KSA Art. 17; UAE Art. 9(3).</w:t>
            </w:r>
          </w:p>
        </w:tc>
      </w:tr>
      <w:tr>
        <w:trPr>
          <w:cantSplit/>
        </w:trPr>
        <w:tc>
          <w:tcPr>
            <w:tcW w:type="dxa" w:w="567"/>
            <w:shd w:val="clear" w:color="auto" w:fill="F4F4F4"/>
          </w:tcPr>
          <w:p>
            <w:pPr>
              <w:spacing w:after="0"/>
              <w:jc w:val="center"/>
            </w:pPr>
            <w:r>
              <w:rPr>
                <w:rFonts w:ascii="Segoe UI Symbol" w:hAnsi="Segoe UI Symbol" w:cs="Segoe UI Symbol" w:eastAsia="Segoe UI Symbol"/>
                <w:sz w:val="21"/>
                <w:szCs w:val="21"/>
              </w:rPr>
              <w:t>☐</w:t>
            </w:r>
          </w:p>
        </w:tc>
        <w:tc>
          <w:tcPr>
            <w:tcW w:type="dxa" w:w="5783"/>
            <w:shd w:val="clear" w:color="auto" w:fill="F4F4F4"/>
          </w:tcPr>
          <w:p>
            <w:pPr>
              <w:spacing w:after="0"/>
            </w:pPr>
            <w:r>
              <w:rPr>
                <w:rFonts w:ascii="Arial" w:hAnsi="Arial" w:cs="Arial" w:eastAsia="Arial"/>
                <w:b w:val="0"/>
                <w:color w:val="111111"/>
                <w:sz w:val="17"/>
                <w:szCs w:val="17"/>
              </w:rPr>
              <w:t>Sub-processors named; no new ones without notice and a chance to object.</w:t>
            </w:r>
          </w:p>
        </w:tc>
        <w:tc>
          <w:tcPr>
            <w:tcW w:type="dxa" w:w="3402"/>
            <w:shd w:val="clear" w:color="auto" w:fill="F4F4F4"/>
          </w:tcPr>
          <w:p>
            <w:pPr>
              <w:spacing w:after="0"/>
            </w:pPr>
            <w:r>
              <w:rPr>
                <w:rFonts w:ascii="Arial" w:hAnsi="Arial" w:cs="Arial" w:eastAsia="Arial"/>
                <w:b w:val="0"/>
                <w:color w:val="111111"/>
                <w:sz w:val="17"/>
                <w:szCs w:val="17"/>
              </w:rPr>
              <w:t>KSA Art. 17(5).</w:t>
            </w:r>
          </w:p>
        </w:tc>
      </w:tr>
      <w:tr>
        <w:trPr>
          <w:cantSplit/>
        </w:trPr>
        <w:tc>
          <w:tcPr>
            <w:tcW w:type="dxa" w:w="567"/>
          </w:tcPr>
          <w:p>
            <w:pPr>
              <w:spacing w:after="0"/>
              <w:jc w:val="center"/>
            </w:pPr>
            <w:r>
              <w:rPr>
                <w:rFonts w:ascii="Segoe UI Symbol" w:hAnsi="Segoe UI Symbol" w:cs="Segoe UI Symbol" w:eastAsia="Segoe UI Symbol"/>
                <w:sz w:val="21"/>
                <w:szCs w:val="21"/>
              </w:rPr>
              <w:t>☐</w:t>
            </w:r>
          </w:p>
        </w:tc>
        <w:tc>
          <w:tcPr>
            <w:tcW w:type="dxa" w:w="5783"/>
          </w:tcPr>
          <w:p>
            <w:pPr>
              <w:spacing w:after="0"/>
            </w:pPr>
            <w:r>
              <w:rPr>
                <w:rFonts w:ascii="Arial" w:hAnsi="Arial" w:cs="Arial" w:eastAsia="Arial"/>
                <w:b w:val="0"/>
                <w:color w:val="111111"/>
                <w:sz w:val="17"/>
                <w:szCs w:val="17"/>
              </w:rPr>
              <w:t>Vendor states whether foreign laws apply to it, and where the data is stored.</w:t>
            </w:r>
          </w:p>
        </w:tc>
        <w:tc>
          <w:tcPr>
            <w:tcW w:type="dxa" w:w="3402"/>
          </w:tcPr>
          <w:p>
            <w:pPr>
              <w:spacing w:after="0"/>
            </w:pPr>
            <w:r>
              <w:rPr>
                <w:rFonts w:ascii="Arial" w:hAnsi="Arial" w:cs="Arial" w:eastAsia="Arial"/>
                <w:b w:val="0"/>
                <w:color w:val="111111"/>
                <w:sz w:val="17"/>
                <w:szCs w:val="17"/>
              </w:rPr>
              <w:t>KSA Art. 17(1)(e); cross-border rules (KSA Art. 29; Egypt licence).</w:t>
            </w:r>
          </w:p>
        </w:tc>
      </w:tr>
      <w:tr>
        <w:trPr>
          <w:cantSplit/>
        </w:trPr>
        <w:tc>
          <w:tcPr>
            <w:tcW w:type="dxa" w:w="567"/>
            <w:shd w:val="clear" w:color="auto" w:fill="F4F4F4"/>
          </w:tcPr>
          <w:p>
            <w:pPr>
              <w:spacing w:after="0"/>
              <w:jc w:val="center"/>
            </w:pPr>
            <w:r>
              <w:rPr>
                <w:rFonts w:ascii="Segoe UI Symbol" w:hAnsi="Segoe UI Symbol" w:cs="Segoe UI Symbol" w:eastAsia="Segoe UI Symbol"/>
                <w:sz w:val="21"/>
                <w:szCs w:val="21"/>
              </w:rPr>
              <w:t>☐</w:t>
            </w:r>
          </w:p>
        </w:tc>
        <w:tc>
          <w:tcPr>
            <w:tcW w:type="dxa" w:w="5783"/>
            <w:shd w:val="clear" w:color="auto" w:fill="F4F4F4"/>
          </w:tcPr>
          <w:p>
            <w:pPr>
              <w:spacing w:after="0"/>
            </w:pPr>
            <w:r>
              <w:rPr>
                <w:rFonts w:ascii="Arial" w:hAnsi="Arial" w:cs="Arial" w:eastAsia="Arial"/>
                <w:b w:val="0"/>
                <w:color w:val="111111"/>
                <w:sz w:val="17"/>
                <w:szCs w:val="17"/>
              </w:rPr>
              <w:t>Security measures described: access control, MFA, encryption, logging, backups.</w:t>
            </w:r>
          </w:p>
        </w:tc>
        <w:tc>
          <w:tcPr>
            <w:tcW w:type="dxa" w:w="3402"/>
            <w:shd w:val="clear" w:color="auto" w:fill="F4F4F4"/>
          </w:tcPr>
          <w:p>
            <w:pPr>
              <w:spacing w:after="0"/>
            </w:pPr>
            <w:r>
              <w:rPr>
                <w:rFonts w:ascii="Arial" w:hAnsi="Arial" w:cs="Arial" w:eastAsia="Arial"/>
                <w:b w:val="0"/>
                <w:color w:val="111111"/>
                <w:sz w:val="17"/>
                <w:szCs w:val="17"/>
              </w:rPr>
              <w:t>All three laws require appropriate security.</w:t>
            </w:r>
          </w:p>
        </w:tc>
      </w:tr>
      <w:tr>
        <w:trPr>
          <w:cantSplit/>
        </w:trPr>
        <w:tc>
          <w:tcPr>
            <w:tcW w:type="dxa" w:w="567"/>
          </w:tcPr>
          <w:p>
            <w:pPr>
              <w:spacing w:after="0"/>
              <w:jc w:val="center"/>
            </w:pPr>
            <w:r>
              <w:rPr>
                <w:rFonts w:ascii="Segoe UI Symbol" w:hAnsi="Segoe UI Symbol" w:cs="Segoe UI Symbol" w:eastAsia="Segoe UI Symbol"/>
                <w:sz w:val="21"/>
                <w:szCs w:val="21"/>
              </w:rPr>
              <w:t>☐</w:t>
            </w:r>
          </w:p>
        </w:tc>
        <w:tc>
          <w:tcPr>
            <w:tcW w:type="dxa" w:w="5783"/>
          </w:tcPr>
          <w:p>
            <w:pPr>
              <w:spacing w:after="0"/>
            </w:pPr>
            <w:r>
              <w:rPr>
                <w:rFonts w:ascii="Arial" w:hAnsi="Arial" w:cs="Arial" w:eastAsia="Arial"/>
                <w:b w:val="0"/>
                <w:color w:val="111111"/>
                <w:sz w:val="17"/>
                <w:szCs w:val="17"/>
              </w:rPr>
              <w:t>Your right to audit or receive an independent assurance report.</w:t>
            </w:r>
          </w:p>
        </w:tc>
        <w:tc>
          <w:tcPr>
            <w:tcW w:type="dxa" w:w="3402"/>
          </w:tcPr>
          <w:p>
            <w:pPr>
              <w:spacing w:after="0"/>
            </w:pPr>
            <w:r>
              <w:rPr>
                <w:rFonts w:ascii="Arial" w:hAnsi="Arial" w:cs="Arial" w:eastAsia="Arial"/>
                <w:b w:val="0"/>
                <w:color w:val="111111"/>
                <w:sz w:val="17"/>
                <w:szCs w:val="17"/>
              </w:rPr>
              <w:t>Lets you monitor the processor.</w:t>
            </w:r>
          </w:p>
        </w:tc>
      </w:tr>
      <w:tr>
        <w:trPr>
          <w:cantSplit/>
        </w:trPr>
        <w:tc>
          <w:tcPr>
            <w:tcW w:type="dxa" w:w="567"/>
            <w:shd w:val="clear" w:color="auto" w:fill="F4F4F4"/>
          </w:tcPr>
          <w:p>
            <w:pPr>
              <w:spacing w:after="0"/>
              <w:jc w:val="center"/>
            </w:pPr>
            <w:r>
              <w:rPr>
                <w:rFonts w:ascii="Segoe UI Symbol" w:hAnsi="Segoe UI Symbol" w:cs="Segoe UI Symbol" w:eastAsia="Segoe UI Symbol"/>
                <w:sz w:val="21"/>
                <w:szCs w:val="21"/>
              </w:rPr>
              <w:t>☐</w:t>
            </w:r>
          </w:p>
        </w:tc>
        <w:tc>
          <w:tcPr>
            <w:tcW w:type="dxa" w:w="5783"/>
            <w:shd w:val="clear" w:color="auto" w:fill="F4F4F4"/>
          </w:tcPr>
          <w:p>
            <w:pPr>
              <w:spacing w:after="0"/>
            </w:pPr>
            <w:r>
              <w:rPr>
                <w:rFonts w:ascii="Arial" w:hAnsi="Arial" w:cs="Arial" w:eastAsia="Arial"/>
                <w:b w:val="0"/>
                <w:color w:val="111111"/>
                <w:sz w:val="17"/>
                <w:szCs w:val="17"/>
              </w:rPr>
              <w:t>Exit: data returned in a usable format, then deleted, with written confirmation.</w:t>
            </w:r>
          </w:p>
        </w:tc>
        <w:tc>
          <w:tcPr>
            <w:tcW w:type="dxa" w:w="3402"/>
            <w:shd w:val="clear" w:color="auto" w:fill="F4F4F4"/>
          </w:tcPr>
          <w:p>
            <w:pPr>
              <w:spacing w:after="0"/>
            </w:pPr>
            <w:r>
              <w:rPr>
                <w:rFonts w:ascii="Arial" w:hAnsi="Arial" w:cs="Arial" w:eastAsia="Arial"/>
                <w:b w:val="0"/>
                <w:color w:val="111111"/>
                <w:sz w:val="17"/>
                <w:szCs w:val="17"/>
              </w:rPr>
              <w:t>Avoids lock-in and leftover copies.</w:t>
            </w:r>
          </w:p>
        </w:tc>
      </w:tr>
      <w:tr>
        <w:trPr>
          <w:cantSplit/>
        </w:trPr>
        <w:tc>
          <w:tcPr>
            <w:tcW w:type="dxa" w:w="567"/>
          </w:tcPr>
          <w:p>
            <w:pPr>
              <w:spacing w:after="0"/>
              <w:jc w:val="center"/>
            </w:pPr>
            <w:r>
              <w:rPr>
                <w:rFonts w:ascii="Segoe UI Symbol" w:hAnsi="Segoe UI Symbol" w:cs="Segoe UI Symbol" w:eastAsia="Segoe UI Symbol"/>
                <w:sz w:val="21"/>
                <w:szCs w:val="21"/>
              </w:rPr>
              <w:t>☐</w:t>
            </w:r>
          </w:p>
        </w:tc>
        <w:tc>
          <w:tcPr>
            <w:tcW w:type="dxa" w:w="5783"/>
          </w:tcPr>
          <w:p>
            <w:pPr>
              <w:spacing w:after="0"/>
            </w:pPr>
            <w:r>
              <w:rPr>
                <w:rFonts w:ascii="Arial" w:hAnsi="Arial" w:cs="Arial" w:eastAsia="Arial"/>
                <w:b w:val="0"/>
                <w:color w:val="111111"/>
                <w:sz w:val="17"/>
                <w:szCs w:val="17"/>
              </w:rPr>
              <w:t>No right to withhold your data in a fee dispute.</w:t>
            </w:r>
          </w:p>
        </w:tc>
        <w:tc>
          <w:tcPr>
            <w:tcW w:type="dxa" w:w="3402"/>
          </w:tcPr>
          <w:p>
            <w:pPr>
              <w:spacing w:after="0"/>
            </w:pPr>
            <w:r>
              <w:rPr>
                <w:rFonts w:ascii="Arial" w:hAnsi="Arial" w:cs="Arial" w:eastAsia="Arial"/>
                <w:b w:val="0"/>
                <w:color w:val="111111"/>
                <w:sz w:val="17"/>
                <w:szCs w:val="17"/>
              </w:rPr>
              <w:t>Protects continuity.</w:t>
            </w:r>
          </w:p>
        </w:tc>
      </w:tr>
      <w:tr>
        <w:trPr>
          <w:cantSplit/>
        </w:trPr>
        <w:tc>
          <w:tcPr>
            <w:tcW w:type="dxa" w:w="567"/>
            <w:shd w:val="clear" w:color="auto" w:fill="F4F4F4"/>
          </w:tcPr>
          <w:p>
            <w:pPr>
              <w:spacing w:after="0"/>
              <w:jc w:val="center"/>
            </w:pPr>
            <w:r>
              <w:rPr>
                <w:rFonts w:ascii="Segoe UI Symbol" w:hAnsi="Segoe UI Symbol" w:cs="Segoe UI Symbol" w:eastAsia="Segoe UI Symbol"/>
                <w:sz w:val="21"/>
                <w:szCs w:val="21"/>
              </w:rPr>
              <w:t>☐</w:t>
            </w:r>
          </w:p>
        </w:tc>
        <w:tc>
          <w:tcPr>
            <w:tcW w:type="dxa" w:w="5783"/>
            <w:shd w:val="clear" w:color="auto" w:fill="F4F4F4"/>
          </w:tcPr>
          <w:p>
            <w:pPr>
              <w:spacing w:after="0"/>
            </w:pPr>
            <w:r>
              <w:rPr>
                <w:rFonts w:ascii="Arial" w:hAnsi="Arial" w:cs="Arial" w:eastAsia="Arial"/>
                <w:b w:val="0"/>
                <w:color w:val="111111"/>
                <w:sz w:val="17"/>
                <w:szCs w:val="17"/>
              </w:rPr>
              <w:t>Confidentiality continues after the contract ends.</w:t>
            </w:r>
          </w:p>
        </w:tc>
        <w:tc>
          <w:tcPr>
            <w:tcW w:type="dxa" w:w="3402"/>
            <w:shd w:val="clear" w:color="auto" w:fill="F4F4F4"/>
          </w:tcPr>
          <w:p>
            <w:pPr>
              <w:spacing w:after="0"/>
            </w:pPr>
            <w:r>
              <w:rPr>
                <w:rFonts w:ascii="Arial" w:hAnsi="Arial" w:cs="Arial" w:eastAsia="Arial"/>
                <w:b w:val="0"/>
                <w:color w:val="111111"/>
                <w:sz w:val="17"/>
                <w:szCs w:val="17"/>
              </w:rPr>
              <w:t>KSA PDPL Art. 41.</w:t>
            </w:r>
          </w:p>
        </w:tc>
      </w:tr>
    </w:tbl>
    <w:p>
      <w:pPr>
        <w:spacing w:after="0" w:before="0" w:line="120" w:lineRule="exact"/>
      </w:pPr>
      <w:r>
        <w:rPr>
          <w:rFonts w:ascii="Arial" w:hAnsi="Arial" w:cs="Arial" w:eastAsia="Arial"/>
          <w:sz w:val="12"/>
          <w:szCs w:val="12"/>
        </w:rPr>
      </w:r>
    </w:p>
    <w:p>
      <w:pPr>
        <w:pStyle w:val="Heading2"/>
      </w:pPr>
      <w:r>
        <w:t>5b. Vendor register</w:t>
      </w:r>
    </w:p>
    <w:tbl>
      <w:tblPr>
        <w:tblW w:type="dxa" w:w="9752"/>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60" w:type="dxa"/>
          <w:left w:w="90" w:type="dxa"/>
          <w:bottom w:w="60" w:type="dxa"/>
          <w:right w:w="90" w:type="dxa"/>
        </w:tblCellMar>
        <w:tblLook w:firstColumn="1" w:firstRow="1" w:lastColumn="0" w:lastRow="0" w:noHBand="0" w:noVBand="1" w:val="04A0"/>
      </w:tblPr>
      <w:tblGrid>
        <w:gridCol w:w="2041"/>
        <w:gridCol w:w="2268"/>
        <w:gridCol w:w="1814"/>
        <w:gridCol w:w="1927"/>
        <w:gridCol w:w="1701"/>
      </w:tblGrid>
      <w:tr>
        <w:trPr>
          <w:cantSplit/>
          <w:tblHeader/>
        </w:trPr>
        <w:tc>
          <w:tcPr>
            <w:tcW w:type="dxa" w:w="2041"/>
            <w:shd w:val="clear" w:color="auto" w:fill="111111"/>
          </w:tcPr>
          <w:p>
            <w:pPr>
              <w:spacing w:after="0"/>
            </w:pPr>
            <w:r>
              <w:rPr>
                <w:rFonts w:ascii="Arial" w:hAnsi="Arial" w:cs="Arial" w:eastAsia="Arial"/>
                <w:b/>
                <w:bCs/>
                <w:color w:val="FFFFFF"/>
                <w:sz w:val="17"/>
                <w:szCs w:val="17"/>
              </w:rPr>
              <w:t>Vendor</w:t>
            </w:r>
          </w:p>
        </w:tc>
        <w:tc>
          <w:tcPr>
            <w:tcW w:type="dxa" w:w="2268"/>
            <w:shd w:val="clear" w:color="auto" w:fill="111111"/>
          </w:tcPr>
          <w:p>
            <w:pPr>
              <w:spacing w:after="0"/>
            </w:pPr>
            <w:r>
              <w:rPr>
                <w:rFonts w:ascii="Arial" w:hAnsi="Arial" w:cs="Arial" w:eastAsia="Arial"/>
                <w:b/>
                <w:bCs/>
                <w:color w:val="FFFFFF"/>
                <w:sz w:val="17"/>
                <w:szCs w:val="17"/>
              </w:rPr>
              <w:t>What data</w:t>
            </w:r>
          </w:p>
        </w:tc>
        <w:tc>
          <w:tcPr>
            <w:tcW w:type="dxa" w:w="1814"/>
            <w:shd w:val="clear" w:color="auto" w:fill="111111"/>
          </w:tcPr>
          <w:p>
            <w:pPr>
              <w:spacing w:after="0"/>
            </w:pPr>
            <w:r>
              <w:rPr>
                <w:rFonts w:ascii="Arial" w:hAnsi="Arial" w:cs="Arial" w:eastAsia="Arial"/>
                <w:b/>
                <w:bCs/>
                <w:color w:val="FFFFFF"/>
                <w:sz w:val="17"/>
                <w:szCs w:val="17"/>
              </w:rPr>
              <w:t>Contract with data clauses?</w:t>
            </w:r>
          </w:p>
        </w:tc>
        <w:tc>
          <w:tcPr>
            <w:tcW w:type="dxa" w:w="1928"/>
            <w:shd w:val="clear" w:color="auto" w:fill="111111"/>
          </w:tcPr>
          <w:p>
            <w:pPr>
              <w:spacing w:after="0"/>
            </w:pPr>
            <w:r>
              <w:rPr>
                <w:rFonts w:ascii="Arial" w:hAnsi="Arial" w:cs="Arial" w:eastAsia="Arial"/>
                <w:b/>
                <w:bCs/>
                <w:color w:val="FFFFFF"/>
                <w:sz w:val="17"/>
                <w:szCs w:val="17"/>
              </w:rPr>
              <w:t>Data stored in (country)</w:t>
            </w:r>
          </w:p>
        </w:tc>
        <w:tc>
          <w:tcPr>
            <w:tcW w:type="dxa" w:w="1701"/>
            <w:shd w:val="clear" w:color="auto" w:fill="111111"/>
          </w:tcPr>
          <w:p>
            <w:pPr>
              <w:spacing w:after="0"/>
            </w:pPr>
            <w:r>
              <w:rPr>
                <w:rFonts w:ascii="Arial" w:hAnsi="Arial" w:cs="Arial" w:eastAsia="Arial"/>
                <w:b/>
                <w:bCs/>
                <w:color w:val="FFFFFF"/>
                <w:sz w:val="17"/>
                <w:szCs w:val="17"/>
              </w:rPr>
              <w:t>Last reviewed</w:t>
            </w:r>
          </w:p>
        </w:tc>
      </w:tr>
      <w:tr>
        <w:trPr>
          <w:cantSplit/>
          <w:trHeight w:val="397"/>
        </w:trPr>
        <w:tc>
          <w:tcPr>
            <w:tcW w:type="dxa" w:w="2041"/>
          </w:tcPr>
          <w:p>
            <w:pPr>
              <w:spacing w:after="0"/>
            </w:pPr>
            <w:r>
              <w:rPr>
                <w:rFonts w:ascii="Arial" w:hAnsi="Arial" w:cs="Arial" w:eastAsia="Arial"/>
                <w:b w:val="0"/>
                <w:color w:val="111111"/>
                <w:sz w:val="17"/>
                <w:szCs w:val="17"/>
              </w:rPr>
            </w:r>
          </w:p>
        </w:tc>
        <w:tc>
          <w:tcPr>
            <w:tcW w:type="dxa" w:w="2268"/>
          </w:tcPr>
          <w:p>
            <w:pPr>
              <w:spacing w:after="0"/>
            </w:pPr>
            <w:r>
              <w:rPr>
                <w:rFonts w:ascii="Arial" w:hAnsi="Arial" w:cs="Arial" w:eastAsia="Arial"/>
                <w:b w:val="0"/>
                <w:color w:val="111111"/>
                <w:sz w:val="17"/>
                <w:szCs w:val="17"/>
              </w:rPr>
            </w:r>
          </w:p>
        </w:tc>
        <w:tc>
          <w:tcPr>
            <w:tcW w:type="dxa" w:w="1814"/>
          </w:tcPr>
          <w:p>
            <w:pPr>
              <w:spacing w:after="0"/>
            </w:pPr>
            <w:r>
              <w:rPr>
                <w:rFonts w:ascii="Arial" w:hAnsi="Arial" w:cs="Arial" w:eastAsia="Arial"/>
                <w:b w:val="0"/>
                <w:color w:val="111111"/>
                <w:sz w:val="17"/>
                <w:szCs w:val="17"/>
              </w:rPr>
            </w:r>
          </w:p>
        </w:tc>
        <w:tc>
          <w:tcPr>
            <w:tcW w:type="dxa" w:w="1928"/>
          </w:tcPr>
          <w:p>
            <w:pPr>
              <w:spacing w:after="0"/>
            </w:pPr>
            <w:r>
              <w:rPr>
                <w:rFonts w:ascii="Arial" w:hAnsi="Arial" w:cs="Arial" w:eastAsia="Arial"/>
                <w:b w:val="0"/>
                <w:color w:val="111111"/>
                <w:sz w:val="17"/>
                <w:szCs w:val="17"/>
              </w:rPr>
            </w:r>
          </w:p>
        </w:tc>
        <w:tc>
          <w:tcPr>
            <w:tcW w:type="dxa" w:w="1701"/>
          </w:tcPr>
          <w:p>
            <w:pPr>
              <w:spacing w:after="0"/>
            </w:pPr>
            <w:r>
              <w:rPr>
                <w:rFonts w:ascii="Arial" w:hAnsi="Arial" w:cs="Arial" w:eastAsia="Arial"/>
                <w:b w:val="0"/>
                <w:color w:val="111111"/>
                <w:sz w:val="17"/>
                <w:szCs w:val="17"/>
              </w:rPr>
            </w:r>
          </w:p>
        </w:tc>
      </w:tr>
      <w:tr>
        <w:trPr>
          <w:cantSplit/>
          <w:trHeight w:val="397"/>
        </w:trPr>
        <w:tc>
          <w:tcPr>
            <w:tcW w:type="dxa" w:w="2041"/>
            <w:shd w:val="clear" w:color="auto" w:fill="F4F4F4"/>
          </w:tcPr>
          <w:p>
            <w:pPr>
              <w:spacing w:after="0"/>
            </w:pPr>
            <w:r>
              <w:rPr>
                <w:rFonts w:ascii="Arial" w:hAnsi="Arial" w:cs="Arial" w:eastAsia="Arial"/>
                <w:b w:val="0"/>
                <w:color w:val="111111"/>
                <w:sz w:val="17"/>
                <w:szCs w:val="17"/>
              </w:rPr>
            </w:r>
          </w:p>
        </w:tc>
        <w:tc>
          <w:tcPr>
            <w:tcW w:type="dxa" w:w="2268"/>
            <w:shd w:val="clear" w:color="auto" w:fill="F4F4F4"/>
          </w:tcPr>
          <w:p>
            <w:pPr>
              <w:spacing w:after="0"/>
            </w:pPr>
            <w:r>
              <w:rPr>
                <w:rFonts w:ascii="Arial" w:hAnsi="Arial" w:cs="Arial" w:eastAsia="Arial"/>
                <w:b w:val="0"/>
                <w:color w:val="111111"/>
                <w:sz w:val="17"/>
                <w:szCs w:val="17"/>
              </w:rPr>
            </w:r>
          </w:p>
        </w:tc>
        <w:tc>
          <w:tcPr>
            <w:tcW w:type="dxa" w:w="1814"/>
            <w:shd w:val="clear" w:color="auto" w:fill="F4F4F4"/>
          </w:tcPr>
          <w:p>
            <w:pPr>
              <w:spacing w:after="0"/>
            </w:pPr>
            <w:r>
              <w:rPr>
                <w:rFonts w:ascii="Arial" w:hAnsi="Arial" w:cs="Arial" w:eastAsia="Arial"/>
                <w:b w:val="0"/>
                <w:color w:val="111111"/>
                <w:sz w:val="17"/>
                <w:szCs w:val="17"/>
              </w:rPr>
            </w:r>
          </w:p>
        </w:tc>
        <w:tc>
          <w:tcPr>
            <w:tcW w:type="dxa" w:w="1928"/>
            <w:shd w:val="clear" w:color="auto" w:fill="F4F4F4"/>
          </w:tcPr>
          <w:p>
            <w:pPr>
              <w:spacing w:after="0"/>
            </w:pPr>
            <w:r>
              <w:rPr>
                <w:rFonts w:ascii="Arial" w:hAnsi="Arial" w:cs="Arial" w:eastAsia="Arial"/>
                <w:b w:val="0"/>
                <w:color w:val="111111"/>
                <w:sz w:val="17"/>
                <w:szCs w:val="17"/>
              </w:rPr>
            </w:r>
          </w:p>
        </w:tc>
        <w:tc>
          <w:tcPr>
            <w:tcW w:type="dxa" w:w="1701"/>
            <w:shd w:val="clear" w:color="auto" w:fill="F4F4F4"/>
          </w:tcPr>
          <w:p>
            <w:pPr>
              <w:spacing w:after="0"/>
            </w:pPr>
            <w:r>
              <w:rPr>
                <w:rFonts w:ascii="Arial" w:hAnsi="Arial" w:cs="Arial" w:eastAsia="Arial"/>
                <w:b w:val="0"/>
                <w:color w:val="111111"/>
                <w:sz w:val="17"/>
                <w:szCs w:val="17"/>
              </w:rPr>
            </w:r>
          </w:p>
        </w:tc>
      </w:tr>
      <w:tr>
        <w:trPr>
          <w:cantSplit/>
          <w:trHeight w:val="397"/>
        </w:trPr>
        <w:tc>
          <w:tcPr>
            <w:tcW w:type="dxa" w:w="2041"/>
          </w:tcPr>
          <w:p>
            <w:pPr>
              <w:spacing w:after="0"/>
            </w:pPr>
            <w:r>
              <w:rPr>
                <w:rFonts w:ascii="Arial" w:hAnsi="Arial" w:cs="Arial" w:eastAsia="Arial"/>
                <w:b w:val="0"/>
                <w:color w:val="111111"/>
                <w:sz w:val="17"/>
                <w:szCs w:val="17"/>
              </w:rPr>
            </w:r>
          </w:p>
        </w:tc>
        <w:tc>
          <w:tcPr>
            <w:tcW w:type="dxa" w:w="2268"/>
          </w:tcPr>
          <w:p>
            <w:pPr>
              <w:spacing w:after="0"/>
            </w:pPr>
            <w:r>
              <w:rPr>
                <w:rFonts w:ascii="Arial" w:hAnsi="Arial" w:cs="Arial" w:eastAsia="Arial"/>
                <w:b w:val="0"/>
                <w:color w:val="111111"/>
                <w:sz w:val="17"/>
                <w:szCs w:val="17"/>
              </w:rPr>
            </w:r>
          </w:p>
        </w:tc>
        <w:tc>
          <w:tcPr>
            <w:tcW w:type="dxa" w:w="1814"/>
          </w:tcPr>
          <w:p>
            <w:pPr>
              <w:spacing w:after="0"/>
            </w:pPr>
            <w:r>
              <w:rPr>
                <w:rFonts w:ascii="Arial" w:hAnsi="Arial" w:cs="Arial" w:eastAsia="Arial"/>
                <w:b w:val="0"/>
                <w:color w:val="111111"/>
                <w:sz w:val="17"/>
                <w:szCs w:val="17"/>
              </w:rPr>
            </w:r>
          </w:p>
        </w:tc>
        <w:tc>
          <w:tcPr>
            <w:tcW w:type="dxa" w:w="1928"/>
          </w:tcPr>
          <w:p>
            <w:pPr>
              <w:spacing w:after="0"/>
            </w:pPr>
            <w:r>
              <w:rPr>
                <w:rFonts w:ascii="Arial" w:hAnsi="Arial" w:cs="Arial" w:eastAsia="Arial"/>
                <w:b w:val="0"/>
                <w:color w:val="111111"/>
                <w:sz w:val="17"/>
                <w:szCs w:val="17"/>
              </w:rPr>
            </w:r>
          </w:p>
        </w:tc>
        <w:tc>
          <w:tcPr>
            <w:tcW w:type="dxa" w:w="1701"/>
          </w:tcPr>
          <w:p>
            <w:pPr>
              <w:spacing w:after="0"/>
            </w:pPr>
            <w:r>
              <w:rPr>
                <w:rFonts w:ascii="Arial" w:hAnsi="Arial" w:cs="Arial" w:eastAsia="Arial"/>
                <w:b w:val="0"/>
                <w:color w:val="111111"/>
                <w:sz w:val="17"/>
                <w:szCs w:val="17"/>
              </w:rPr>
            </w:r>
          </w:p>
        </w:tc>
      </w:tr>
      <w:tr>
        <w:trPr>
          <w:cantSplit/>
          <w:trHeight w:val="397"/>
        </w:trPr>
        <w:tc>
          <w:tcPr>
            <w:tcW w:type="dxa" w:w="2041"/>
            <w:shd w:val="clear" w:color="auto" w:fill="F4F4F4"/>
          </w:tcPr>
          <w:p>
            <w:pPr>
              <w:spacing w:after="0"/>
            </w:pPr>
            <w:r>
              <w:rPr>
                <w:rFonts w:ascii="Arial" w:hAnsi="Arial" w:cs="Arial" w:eastAsia="Arial"/>
                <w:b w:val="0"/>
                <w:color w:val="111111"/>
                <w:sz w:val="17"/>
                <w:szCs w:val="17"/>
              </w:rPr>
            </w:r>
          </w:p>
        </w:tc>
        <w:tc>
          <w:tcPr>
            <w:tcW w:type="dxa" w:w="2268"/>
            <w:shd w:val="clear" w:color="auto" w:fill="F4F4F4"/>
          </w:tcPr>
          <w:p>
            <w:pPr>
              <w:spacing w:after="0"/>
            </w:pPr>
            <w:r>
              <w:rPr>
                <w:rFonts w:ascii="Arial" w:hAnsi="Arial" w:cs="Arial" w:eastAsia="Arial"/>
                <w:b w:val="0"/>
                <w:color w:val="111111"/>
                <w:sz w:val="17"/>
                <w:szCs w:val="17"/>
              </w:rPr>
            </w:r>
          </w:p>
        </w:tc>
        <w:tc>
          <w:tcPr>
            <w:tcW w:type="dxa" w:w="1814"/>
            <w:shd w:val="clear" w:color="auto" w:fill="F4F4F4"/>
          </w:tcPr>
          <w:p>
            <w:pPr>
              <w:spacing w:after="0"/>
            </w:pPr>
            <w:r>
              <w:rPr>
                <w:rFonts w:ascii="Arial" w:hAnsi="Arial" w:cs="Arial" w:eastAsia="Arial"/>
                <w:b w:val="0"/>
                <w:color w:val="111111"/>
                <w:sz w:val="17"/>
                <w:szCs w:val="17"/>
              </w:rPr>
            </w:r>
          </w:p>
        </w:tc>
        <w:tc>
          <w:tcPr>
            <w:tcW w:type="dxa" w:w="1928"/>
            <w:shd w:val="clear" w:color="auto" w:fill="F4F4F4"/>
          </w:tcPr>
          <w:p>
            <w:pPr>
              <w:spacing w:after="0"/>
            </w:pPr>
            <w:r>
              <w:rPr>
                <w:rFonts w:ascii="Arial" w:hAnsi="Arial" w:cs="Arial" w:eastAsia="Arial"/>
                <w:b w:val="0"/>
                <w:color w:val="111111"/>
                <w:sz w:val="17"/>
                <w:szCs w:val="17"/>
              </w:rPr>
            </w:r>
          </w:p>
        </w:tc>
        <w:tc>
          <w:tcPr>
            <w:tcW w:type="dxa" w:w="1701"/>
            <w:shd w:val="clear" w:color="auto" w:fill="F4F4F4"/>
          </w:tcPr>
          <w:p>
            <w:pPr>
              <w:spacing w:after="0"/>
            </w:pPr>
            <w:r>
              <w:rPr>
                <w:rFonts w:ascii="Arial" w:hAnsi="Arial" w:cs="Arial" w:eastAsia="Arial"/>
                <w:b w:val="0"/>
                <w:color w:val="111111"/>
                <w:sz w:val="17"/>
                <w:szCs w:val="17"/>
              </w:rPr>
            </w:r>
          </w:p>
        </w:tc>
      </w:tr>
      <w:tr>
        <w:trPr>
          <w:cantSplit/>
          <w:trHeight w:val="397"/>
        </w:trPr>
        <w:tc>
          <w:tcPr>
            <w:tcW w:type="dxa" w:w="2041"/>
          </w:tcPr>
          <w:p>
            <w:pPr>
              <w:spacing w:after="0"/>
            </w:pPr>
            <w:r>
              <w:rPr>
                <w:rFonts w:ascii="Arial" w:hAnsi="Arial" w:cs="Arial" w:eastAsia="Arial"/>
                <w:b w:val="0"/>
                <w:color w:val="111111"/>
                <w:sz w:val="17"/>
                <w:szCs w:val="17"/>
              </w:rPr>
            </w:r>
          </w:p>
        </w:tc>
        <w:tc>
          <w:tcPr>
            <w:tcW w:type="dxa" w:w="2268"/>
          </w:tcPr>
          <w:p>
            <w:pPr>
              <w:spacing w:after="0"/>
            </w:pPr>
            <w:r>
              <w:rPr>
                <w:rFonts w:ascii="Arial" w:hAnsi="Arial" w:cs="Arial" w:eastAsia="Arial"/>
                <w:b w:val="0"/>
                <w:color w:val="111111"/>
                <w:sz w:val="17"/>
                <w:szCs w:val="17"/>
              </w:rPr>
            </w:r>
          </w:p>
        </w:tc>
        <w:tc>
          <w:tcPr>
            <w:tcW w:type="dxa" w:w="1814"/>
          </w:tcPr>
          <w:p>
            <w:pPr>
              <w:spacing w:after="0"/>
            </w:pPr>
            <w:r>
              <w:rPr>
                <w:rFonts w:ascii="Arial" w:hAnsi="Arial" w:cs="Arial" w:eastAsia="Arial"/>
                <w:b w:val="0"/>
                <w:color w:val="111111"/>
                <w:sz w:val="17"/>
                <w:szCs w:val="17"/>
              </w:rPr>
            </w:r>
          </w:p>
        </w:tc>
        <w:tc>
          <w:tcPr>
            <w:tcW w:type="dxa" w:w="1928"/>
          </w:tcPr>
          <w:p>
            <w:pPr>
              <w:spacing w:after="0"/>
            </w:pPr>
            <w:r>
              <w:rPr>
                <w:rFonts w:ascii="Arial" w:hAnsi="Arial" w:cs="Arial" w:eastAsia="Arial"/>
                <w:b w:val="0"/>
                <w:color w:val="111111"/>
                <w:sz w:val="17"/>
                <w:szCs w:val="17"/>
              </w:rPr>
            </w:r>
          </w:p>
        </w:tc>
        <w:tc>
          <w:tcPr>
            <w:tcW w:type="dxa" w:w="1701"/>
          </w:tcPr>
          <w:p>
            <w:pPr>
              <w:spacing w:after="0"/>
            </w:pPr>
            <w:r>
              <w:rPr>
                <w:rFonts w:ascii="Arial" w:hAnsi="Arial" w:cs="Arial" w:eastAsia="Arial"/>
                <w:b w:val="0"/>
                <w:color w:val="111111"/>
                <w:sz w:val="17"/>
                <w:szCs w:val="17"/>
              </w:rPr>
            </w:r>
          </w:p>
        </w:tc>
      </w:tr>
    </w:tbl>
    <w:p>
      <w:pPr>
        <w:spacing w:after="0" w:before="0" w:line="120" w:lineRule="exact"/>
      </w:pPr>
      <w:r>
        <w:rPr>
          <w:rFonts w:ascii="Arial" w:hAnsi="Arial" w:cs="Arial" w:eastAsia="Arial"/>
          <w:sz w:val="12"/>
          <w:szCs w:val="12"/>
        </w:rPr>
      </w:r>
    </w:p>
    <w:tbl>
      <w:tblPr>
        <w:tblW w:type="dxa" w:w="9753"/>
        <w:jc w:val="center"/>
        <w:tblLayout w:type="fixed"/>
        <w:tblCellMar>
          <w:top w:w="100" w:type="dxa"/>
          <w:left w:w="160" w:type="dxa"/>
          <w:bottom w:w="100" w:type="dxa"/>
          <w:right w:w="140" w:type="dxa"/>
        </w:tblCellMar>
        <w:tblLook w:firstColumn="1" w:firstRow="1" w:lastColumn="0" w:lastRow="0" w:noHBand="0" w:noVBand="1" w:val="04A0"/>
      </w:tblPr>
      <w:tblGrid>
        <w:gridCol w:w="9753"/>
      </w:tblGrid>
      <w:tr>
        <w:tc>
          <w:tcPr>
            <w:tcW w:type="dxa" w:w="9752"/>
            <w:tcBorders>
              <w:top w:val="nil"/>
              <w:left w:val="single" w:sz="24" w:space="0" w:color="CC1923"/>
              <w:bottom w:val="nil"/>
              <w:right w:val="nil"/>
            </w:tcBorders>
            <w:shd w:val="clear" w:color="auto" w:fill="F4F4F4"/>
          </w:tcPr>
          <w:p>
            <w:pPr>
              <w:spacing w:after="0"/>
            </w:pPr>
            <w:r>
              <w:rPr>
                <w:rFonts w:ascii="Arial" w:hAnsi="Arial" w:cs="Arial" w:eastAsia="Arial"/>
                <w:b/>
                <w:bCs/>
                <w:color w:val="111111"/>
                <w:sz w:val="18"/>
                <w:szCs w:val="18"/>
              </w:rPr>
              <w:t xml:space="preserve">Tip: </w:t>
            </w:r>
            <w:r>
              <w:rPr>
                <w:rFonts w:ascii="Arial" w:hAnsi="Arial" w:cs="Arial" w:eastAsia="Arial"/>
                <w:color w:val="111111"/>
                <w:sz w:val="18"/>
                <w:szCs w:val="18"/>
              </w:rPr>
              <w:t>Where you can, keep the accounting system on your own subscription and give vendor staff named user accounts. You keep the data, see the activity log, and can remove access in minutes if the relationship ends.</w:t>
            </w:r>
          </w:p>
        </w:tc>
      </w:tr>
    </w:tbl>
    <w:p>
      <w:pPr>
        <w:spacing w:after="0" w:before="0" w:line="80" w:lineRule="exact"/>
      </w:pPr>
      <w:r>
        <w:rPr>
          <w:rFonts w:ascii="Arial" w:hAnsi="Arial" w:cs="Arial" w:eastAsia="Arial"/>
          <w:sz w:val="8"/>
          <w:szCs w:val="8"/>
        </w:rPr>
      </w:r>
    </w:p>
    <w:p>
      <w:pPr>
        <w:pStyle w:val="Heading1"/>
      </w:pPr>
      <w:r>
        <w:t>6. Breach response: first 72 hours</w:t>
      </w:r>
    </w:p>
    <w:p>
      <w:pPr>
        <w:spacing w:after="80"/>
      </w:pPr>
      <w:r>
        <w:rPr>
          <w:rFonts w:ascii="Arial" w:hAnsi="Arial" w:cs="Arial" w:eastAsia="Arial"/>
          <w:i w:val="0"/>
          <w:color w:val="111111"/>
          <w:sz w:val="20"/>
          <w:szCs w:val="20"/>
        </w:rPr>
        <w:t>A breach is any incident that exposes, alters, destroys or gives unauthorised access to personal data, e.g. a payroll file emailed to the wrong person, a stolen laptop, a hacked email account, or a vendor incident.</w:t>
      </w:r>
    </w:p>
    <w:tbl>
      <w:tblPr>
        <w:tblW w:type="dxa" w:w="9752"/>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60" w:type="dxa"/>
          <w:left w:w="90" w:type="dxa"/>
          <w:bottom w:w="60" w:type="dxa"/>
          <w:right w:w="90" w:type="dxa"/>
        </w:tblCellMar>
        <w:tblLook w:firstColumn="1" w:firstRow="1" w:lastColumn="0" w:lastRow="0" w:noHBand="0" w:noVBand="1" w:val="04A0"/>
      </w:tblPr>
      <w:tblGrid>
        <w:gridCol w:w="1474"/>
        <w:gridCol w:w="7371"/>
        <w:gridCol w:w="907"/>
      </w:tblGrid>
      <w:tr>
        <w:trPr>
          <w:cantSplit/>
          <w:tblHeader/>
        </w:trPr>
        <w:tc>
          <w:tcPr>
            <w:tcW w:type="dxa" w:w="1474"/>
            <w:shd w:val="clear" w:color="auto" w:fill="111111"/>
          </w:tcPr>
          <w:p>
            <w:pPr>
              <w:spacing w:after="0"/>
            </w:pPr>
            <w:r>
              <w:rPr>
                <w:rFonts w:ascii="Arial" w:hAnsi="Arial" w:cs="Arial" w:eastAsia="Arial"/>
                <w:b/>
                <w:bCs/>
                <w:color w:val="FFFFFF"/>
                <w:sz w:val="17"/>
                <w:szCs w:val="17"/>
              </w:rPr>
              <w:t>When</w:t>
            </w:r>
          </w:p>
        </w:tc>
        <w:tc>
          <w:tcPr>
            <w:tcW w:type="dxa" w:w="7370"/>
            <w:shd w:val="clear" w:color="auto" w:fill="111111"/>
          </w:tcPr>
          <w:p>
            <w:pPr>
              <w:spacing w:after="0"/>
            </w:pPr>
            <w:r>
              <w:rPr>
                <w:rFonts w:ascii="Arial" w:hAnsi="Arial" w:cs="Arial" w:eastAsia="Arial"/>
                <w:b/>
                <w:bCs/>
                <w:color w:val="FFFFFF"/>
                <w:sz w:val="17"/>
                <w:szCs w:val="17"/>
              </w:rPr>
              <w:t>Action</w:t>
            </w:r>
          </w:p>
        </w:tc>
        <w:tc>
          <w:tcPr>
            <w:tcW w:type="dxa" w:w="907"/>
            <w:shd w:val="clear" w:color="auto" w:fill="111111"/>
          </w:tcPr>
          <w:p>
            <w:pPr>
              <w:spacing w:after="0"/>
            </w:pPr>
            <w:r>
              <w:rPr>
                <w:rFonts w:ascii="Arial" w:hAnsi="Arial" w:cs="Arial" w:eastAsia="Arial"/>
                <w:b/>
                <w:bCs/>
                <w:color w:val="FFFFFF"/>
                <w:sz w:val="17"/>
                <w:szCs w:val="17"/>
              </w:rPr>
              <w:t>Done</w:t>
            </w:r>
          </w:p>
        </w:tc>
      </w:tr>
      <w:tr>
        <w:trPr>
          <w:cantSplit/>
        </w:trPr>
        <w:tc>
          <w:tcPr>
            <w:tcW w:type="dxa" w:w="1474"/>
          </w:tcPr>
          <w:p>
            <w:pPr>
              <w:spacing w:after="0"/>
            </w:pPr>
            <w:r>
              <w:rPr>
                <w:rFonts w:ascii="Arial" w:hAnsi="Arial" w:cs="Arial" w:eastAsia="Arial"/>
                <w:b w:val="0"/>
                <w:color w:val="111111"/>
                <w:sz w:val="17"/>
                <w:szCs w:val="17"/>
              </w:rPr>
              <w:t>Hour 0–2</w:t>
            </w:r>
          </w:p>
        </w:tc>
        <w:tc>
          <w:tcPr>
            <w:tcW w:type="dxa" w:w="7370"/>
          </w:tcPr>
          <w:p>
            <w:pPr>
              <w:spacing w:after="0"/>
            </w:pPr>
            <w:r>
              <w:rPr>
                <w:rFonts w:ascii="Arial" w:hAnsi="Arial" w:cs="Arial" w:eastAsia="Arial"/>
                <w:b w:val="0"/>
                <w:color w:val="111111"/>
                <w:sz w:val="17"/>
                <w:szCs w:val="17"/>
              </w:rPr>
              <w:t>Contain: reset passwords, revoke access, recall emails, isolate devices. Write down the time you became aware.</w:t>
            </w:r>
          </w:p>
        </w:tc>
        <w:tc>
          <w:tcPr>
            <w:tcW w:type="dxa" w:w="907"/>
          </w:tcPr>
          <w:p>
            <w:pPr>
              <w:spacing w:after="0"/>
              <w:jc w:val="center"/>
            </w:pPr>
            <w:r>
              <w:rPr>
                <w:rFonts w:ascii="Segoe UI Symbol" w:hAnsi="Segoe UI Symbol" w:cs="Segoe UI Symbol" w:eastAsia="Segoe UI Symbol"/>
                <w:sz w:val="21"/>
                <w:szCs w:val="21"/>
              </w:rPr>
              <w:t>☐</w:t>
            </w:r>
          </w:p>
        </w:tc>
      </w:tr>
      <w:tr>
        <w:trPr>
          <w:cantSplit/>
        </w:trPr>
        <w:tc>
          <w:tcPr>
            <w:tcW w:type="dxa" w:w="1474"/>
            <w:shd w:val="clear" w:color="auto" w:fill="F4F4F4"/>
          </w:tcPr>
          <w:p>
            <w:pPr>
              <w:spacing w:after="0"/>
            </w:pPr>
            <w:r>
              <w:rPr>
                <w:rFonts w:ascii="Arial" w:hAnsi="Arial" w:cs="Arial" w:eastAsia="Arial"/>
                <w:b w:val="0"/>
                <w:color w:val="111111"/>
                <w:sz w:val="17"/>
                <w:szCs w:val="17"/>
              </w:rPr>
              <w:t>Hour 2–12</w:t>
            </w:r>
          </w:p>
        </w:tc>
        <w:tc>
          <w:tcPr>
            <w:tcW w:type="dxa" w:w="7370"/>
            <w:shd w:val="clear" w:color="auto" w:fill="F4F4F4"/>
          </w:tcPr>
          <w:p>
            <w:pPr>
              <w:spacing w:after="0"/>
            </w:pPr>
            <w:r>
              <w:rPr>
                <w:rFonts w:ascii="Arial" w:hAnsi="Arial" w:cs="Arial" w:eastAsia="Arial"/>
                <w:b w:val="0"/>
                <w:color w:val="111111"/>
                <w:sz w:val="17"/>
                <w:szCs w:val="17"/>
              </w:rPr>
              <w:t>Assess: what data, how many people, which countries, is it sensitive (IDs, health, bank details)? Ask the vendor for its incident report.</w:t>
            </w:r>
          </w:p>
        </w:tc>
        <w:tc>
          <w:tcPr>
            <w:tcW w:type="dxa" w:w="907"/>
            <w:shd w:val="clear" w:color="auto" w:fill="F4F4F4"/>
          </w:tcPr>
          <w:p>
            <w:pPr>
              <w:spacing w:after="0"/>
              <w:jc w:val="center"/>
            </w:pPr>
            <w:r>
              <w:rPr>
                <w:rFonts w:ascii="Segoe UI Symbol" w:hAnsi="Segoe UI Symbol" w:cs="Segoe UI Symbol" w:eastAsia="Segoe UI Symbol"/>
                <w:sz w:val="21"/>
                <w:szCs w:val="21"/>
              </w:rPr>
              <w:t>☐</w:t>
            </w:r>
          </w:p>
        </w:tc>
      </w:tr>
      <w:tr>
        <w:trPr>
          <w:cantSplit/>
        </w:trPr>
        <w:tc>
          <w:tcPr>
            <w:tcW w:type="dxa" w:w="1474"/>
          </w:tcPr>
          <w:p>
            <w:pPr>
              <w:spacing w:after="0"/>
            </w:pPr>
            <w:r>
              <w:rPr>
                <w:rFonts w:ascii="Arial" w:hAnsi="Arial" w:cs="Arial" w:eastAsia="Arial"/>
                <w:b w:val="0"/>
                <w:color w:val="111111"/>
                <w:sz w:val="17"/>
                <w:szCs w:val="17"/>
              </w:rPr>
              <w:t>Hour 12–24</w:t>
            </w:r>
          </w:p>
        </w:tc>
        <w:tc>
          <w:tcPr>
            <w:tcW w:type="dxa" w:w="7370"/>
          </w:tcPr>
          <w:p>
            <w:pPr>
              <w:spacing w:after="0"/>
            </w:pPr>
            <w:r>
              <w:rPr>
                <w:rFonts w:ascii="Arial" w:hAnsi="Arial" w:cs="Arial" w:eastAsia="Arial"/>
                <w:b w:val="0"/>
                <w:color w:val="111111"/>
                <w:sz w:val="17"/>
                <w:szCs w:val="17"/>
              </w:rPr>
              <w:t>Decide with your lawyer whether the legal threshold for notifying the regulator and individuals is met in each country.</w:t>
            </w:r>
          </w:p>
        </w:tc>
        <w:tc>
          <w:tcPr>
            <w:tcW w:type="dxa" w:w="907"/>
          </w:tcPr>
          <w:p>
            <w:pPr>
              <w:spacing w:after="0"/>
              <w:jc w:val="center"/>
            </w:pPr>
            <w:r>
              <w:rPr>
                <w:rFonts w:ascii="Segoe UI Symbol" w:hAnsi="Segoe UI Symbol" w:cs="Segoe UI Symbol" w:eastAsia="Segoe UI Symbol"/>
                <w:sz w:val="21"/>
                <w:szCs w:val="21"/>
              </w:rPr>
              <w:t>☐</w:t>
            </w:r>
          </w:p>
        </w:tc>
      </w:tr>
      <w:tr>
        <w:trPr>
          <w:cantSplit/>
        </w:trPr>
        <w:tc>
          <w:tcPr>
            <w:tcW w:type="dxa" w:w="1474"/>
            <w:shd w:val="clear" w:color="auto" w:fill="F4F4F4"/>
          </w:tcPr>
          <w:p>
            <w:pPr>
              <w:spacing w:after="0"/>
            </w:pPr>
            <w:r>
              <w:rPr>
                <w:rFonts w:ascii="Arial" w:hAnsi="Arial" w:cs="Arial" w:eastAsia="Arial"/>
                <w:b w:val="0"/>
                <w:color w:val="111111"/>
                <w:sz w:val="17"/>
                <w:szCs w:val="17"/>
              </w:rPr>
              <w:t>By hour 72</w:t>
            </w:r>
          </w:p>
        </w:tc>
        <w:tc>
          <w:tcPr>
            <w:tcW w:type="dxa" w:w="7370"/>
            <w:shd w:val="clear" w:color="auto" w:fill="F4F4F4"/>
          </w:tcPr>
          <w:p>
            <w:pPr>
              <w:spacing w:after="0"/>
            </w:pPr>
            <w:r>
              <w:rPr>
                <w:rFonts w:ascii="Arial" w:hAnsi="Arial" w:cs="Arial" w:eastAsia="Arial"/>
                <w:b w:val="0"/>
                <w:color w:val="111111"/>
                <w:sz w:val="17"/>
                <w:szCs w:val="17"/>
              </w:rPr>
              <w:t>KSA: notify SDAIA (where the breach may cause harm).  Egypt: notify the PDPC.  UAE: follow the Executive Regulations once issued; record your decision either way.</w:t>
            </w:r>
          </w:p>
        </w:tc>
        <w:tc>
          <w:tcPr>
            <w:tcW w:type="dxa" w:w="907"/>
            <w:shd w:val="clear" w:color="auto" w:fill="F4F4F4"/>
          </w:tcPr>
          <w:p>
            <w:pPr>
              <w:spacing w:after="0"/>
              <w:jc w:val="center"/>
            </w:pPr>
            <w:r>
              <w:rPr>
                <w:rFonts w:ascii="Segoe UI Symbol" w:hAnsi="Segoe UI Symbol" w:cs="Segoe UI Symbol" w:eastAsia="Segoe UI Symbol"/>
                <w:sz w:val="21"/>
                <w:szCs w:val="21"/>
              </w:rPr>
              <w:t>☐</w:t>
            </w:r>
          </w:p>
        </w:tc>
      </w:tr>
      <w:tr>
        <w:trPr>
          <w:cantSplit/>
        </w:trPr>
        <w:tc>
          <w:tcPr>
            <w:tcW w:type="dxa" w:w="1474"/>
          </w:tcPr>
          <w:p>
            <w:pPr>
              <w:spacing w:after="0"/>
            </w:pPr>
            <w:r>
              <w:rPr>
                <w:rFonts w:ascii="Arial" w:hAnsi="Arial" w:cs="Arial" w:eastAsia="Arial"/>
                <w:b w:val="0"/>
                <w:color w:val="111111"/>
                <w:sz w:val="17"/>
                <w:szCs w:val="17"/>
              </w:rPr>
              <w:t>Next days</w:t>
            </w:r>
          </w:p>
        </w:tc>
        <w:tc>
          <w:tcPr>
            <w:tcW w:type="dxa" w:w="7370"/>
          </w:tcPr>
          <w:p>
            <w:pPr>
              <w:spacing w:after="0"/>
            </w:pPr>
            <w:r>
              <w:rPr>
                <w:rFonts w:ascii="Arial" w:hAnsi="Arial" w:cs="Arial" w:eastAsia="Arial"/>
                <w:b w:val="0"/>
                <w:color w:val="111111"/>
                <w:sz w:val="17"/>
                <w:szCs w:val="17"/>
              </w:rPr>
              <w:t>Tell affected individuals where required (KSA: without undue delay; Egypt: within 3 working days of notifying the PDPC). Use simple language and say what they should do.</w:t>
            </w:r>
          </w:p>
        </w:tc>
        <w:tc>
          <w:tcPr>
            <w:tcW w:type="dxa" w:w="907"/>
          </w:tcPr>
          <w:p>
            <w:pPr>
              <w:spacing w:after="0"/>
              <w:jc w:val="center"/>
            </w:pPr>
            <w:r>
              <w:rPr>
                <w:rFonts w:ascii="Segoe UI Symbol" w:hAnsi="Segoe UI Symbol" w:cs="Segoe UI Symbol" w:eastAsia="Segoe UI Symbol"/>
                <w:sz w:val="21"/>
                <w:szCs w:val="21"/>
              </w:rPr>
              <w:t>☐</w:t>
            </w:r>
          </w:p>
        </w:tc>
      </w:tr>
      <w:tr>
        <w:trPr>
          <w:cantSplit/>
        </w:trPr>
        <w:tc>
          <w:tcPr>
            <w:tcW w:type="dxa" w:w="1474"/>
            <w:shd w:val="clear" w:color="auto" w:fill="F4F4F4"/>
          </w:tcPr>
          <w:p>
            <w:pPr>
              <w:spacing w:after="0"/>
            </w:pPr>
            <w:r>
              <w:rPr>
                <w:rFonts w:ascii="Arial" w:hAnsi="Arial" w:cs="Arial" w:eastAsia="Arial"/>
                <w:b w:val="0"/>
                <w:color w:val="111111"/>
                <w:sz w:val="17"/>
                <w:szCs w:val="17"/>
              </w:rPr>
              <w:t>Within 30 days</w:t>
            </w:r>
          </w:p>
        </w:tc>
        <w:tc>
          <w:tcPr>
            <w:tcW w:type="dxa" w:w="7370"/>
            <w:shd w:val="clear" w:color="auto" w:fill="F4F4F4"/>
          </w:tcPr>
          <w:p>
            <w:pPr>
              <w:spacing w:after="0"/>
            </w:pPr>
            <w:r>
              <w:rPr>
                <w:rFonts w:ascii="Arial" w:hAnsi="Arial" w:cs="Arial" w:eastAsia="Arial"/>
                <w:b w:val="0"/>
                <w:color w:val="111111"/>
                <w:sz w:val="17"/>
                <w:szCs w:val="17"/>
              </w:rPr>
              <w:t>Fix the root cause, keep copies of all notices and evidence, and update this checklist.</w:t>
            </w:r>
          </w:p>
        </w:tc>
        <w:tc>
          <w:tcPr>
            <w:tcW w:type="dxa" w:w="907"/>
            <w:shd w:val="clear" w:color="auto" w:fill="F4F4F4"/>
          </w:tcPr>
          <w:p>
            <w:pPr>
              <w:spacing w:after="0"/>
              <w:jc w:val="center"/>
            </w:pPr>
            <w:r>
              <w:rPr>
                <w:rFonts w:ascii="Segoe UI Symbol" w:hAnsi="Segoe UI Symbol" w:cs="Segoe UI Symbol" w:eastAsia="Segoe UI Symbol"/>
                <w:sz w:val="21"/>
                <w:szCs w:val="21"/>
              </w:rPr>
              <w:t>☐</w:t>
            </w:r>
          </w:p>
        </w:tc>
      </w:tr>
    </w:tbl>
    <w:p>
      <w:pPr>
        <w:spacing w:after="0" w:before="0" w:line="120" w:lineRule="exact"/>
      </w:pPr>
      <w:r>
        <w:rPr>
          <w:rFonts w:ascii="Arial" w:hAnsi="Arial" w:cs="Arial" w:eastAsia="Arial"/>
          <w:sz w:val="12"/>
          <w:szCs w:val="12"/>
        </w:rPr>
      </w:r>
    </w:p>
    <w:p>
      <w:pPr>
        <w:pStyle w:val="Heading2"/>
      </w:pPr>
      <w:r>
        <w:t>Breach contact sheet (fill in now)</w:t>
      </w:r>
    </w:p>
    <w:tbl>
      <w:tblPr>
        <w:tblW w:type="dxa" w:w="9752"/>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60" w:type="dxa"/>
          <w:left w:w="90" w:type="dxa"/>
          <w:bottom w:w="60" w:type="dxa"/>
          <w:right w:w="90" w:type="dxa"/>
        </w:tblCellMar>
        <w:tblLook w:firstColumn="1" w:firstRow="1" w:lastColumn="0" w:lastRow="0" w:noHBand="0" w:noVBand="1" w:val="04A0"/>
      </w:tblPr>
      <w:tblGrid>
        <w:gridCol w:w="3402"/>
        <w:gridCol w:w="2041"/>
        <w:gridCol w:w="1701"/>
        <w:gridCol w:w="2608"/>
      </w:tblGrid>
      <w:tr>
        <w:trPr>
          <w:cantSplit/>
          <w:tblHeader/>
        </w:trPr>
        <w:tc>
          <w:tcPr>
            <w:tcW w:type="dxa" w:w="3402"/>
            <w:shd w:val="clear" w:color="auto" w:fill="111111"/>
          </w:tcPr>
          <w:p>
            <w:pPr>
              <w:spacing w:after="0"/>
            </w:pPr>
            <w:r>
              <w:rPr>
                <w:rFonts w:ascii="Arial" w:hAnsi="Arial" w:cs="Arial" w:eastAsia="Arial"/>
                <w:b/>
                <w:bCs/>
                <w:color w:val="FFFFFF"/>
                <w:sz w:val="17"/>
                <w:szCs w:val="17"/>
              </w:rPr>
              <w:t>Role</w:t>
            </w:r>
          </w:p>
        </w:tc>
        <w:tc>
          <w:tcPr>
            <w:tcW w:type="dxa" w:w="2041"/>
            <w:shd w:val="clear" w:color="auto" w:fill="111111"/>
          </w:tcPr>
          <w:p>
            <w:pPr>
              <w:spacing w:after="0"/>
            </w:pPr>
            <w:r>
              <w:rPr>
                <w:rFonts w:ascii="Arial" w:hAnsi="Arial" w:cs="Arial" w:eastAsia="Arial"/>
                <w:b/>
                <w:bCs/>
                <w:color w:val="FFFFFF"/>
                <w:sz w:val="17"/>
                <w:szCs w:val="17"/>
              </w:rPr>
              <w:t>Name</w:t>
            </w:r>
          </w:p>
        </w:tc>
        <w:tc>
          <w:tcPr>
            <w:tcW w:type="dxa" w:w="1701"/>
            <w:shd w:val="clear" w:color="auto" w:fill="111111"/>
          </w:tcPr>
          <w:p>
            <w:pPr>
              <w:spacing w:after="0"/>
            </w:pPr>
            <w:r>
              <w:rPr>
                <w:rFonts w:ascii="Arial" w:hAnsi="Arial" w:cs="Arial" w:eastAsia="Arial"/>
                <w:b/>
                <w:bCs/>
                <w:color w:val="FFFFFF"/>
                <w:sz w:val="17"/>
                <w:szCs w:val="17"/>
              </w:rPr>
              <w:t>Phone</w:t>
            </w:r>
          </w:p>
        </w:tc>
        <w:tc>
          <w:tcPr>
            <w:tcW w:type="dxa" w:w="2608"/>
            <w:shd w:val="clear" w:color="auto" w:fill="111111"/>
          </w:tcPr>
          <w:p>
            <w:pPr>
              <w:spacing w:after="0"/>
            </w:pPr>
            <w:r>
              <w:rPr>
                <w:rFonts w:ascii="Arial" w:hAnsi="Arial" w:cs="Arial" w:eastAsia="Arial"/>
                <w:b/>
                <w:bCs/>
                <w:color w:val="FFFFFF"/>
                <w:sz w:val="17"/>
                <w:szCs w:val="17"/>
              </w:rPr>
              <w:t>Email</w:t>
            </w:r>
          </w:p>
        </w:tc>
      </w:tr>
      <w:tr>
        <w:trPr>
          <w:cantSplit/>
          <w:trHeight w:val="397"/>
        </w:trPr>
        <w:tc>
          <w:tcPr>
            <w:tcW w:type="dxa" w:w="3402"/>
          </w:tcPr>
          <w:p>
            <w:pPr>
              <w:spacing w:after="0"/>
            </w:pPr>
            <w:r>
              <w:rPr>
                <w:rFonts w:ascii="Arial" w:hAnsi="Arial" w:cs="Arial" w:eastAsia="Arial"/>
                <w:b w:val="0"/>
                <w:color w:val="111111"/>
                <w:sz w:val="17"/>
                <w:szCs w:val="17"/>
              </w:rPr>
              <w:t>Breach lead (decides and coordinates)</w:t>
            </w:r>
          </w:p>
        </w:tc>
        <w:tc>
          <w:tcPr>
            <w:tcW w:type="dxa" w:w="2041"/>
          </w:tcPr>
          <w:p>
            <w:pPr>
              <w:spacing w:after="0"/>
            </w:pPr>
            <w:r>
              <w:rPr>
                <w:rFonts w:ascii="Arial" w:hAnsi="Arial" w:cs="Arial" w:eastAsia="Arial"/>
                <w:b w:val="0"/>
                <w:color w:val="111111"/>
                <w:sz w:val="17"/>
                <w:szCs w:val="17"/>
              </w:rPr>
            </w:r>
          </w:p>
        </w:tc>
        <w:tc>
          <w:tcPr>
            <w:tcW w:type="dxa" w:w="1701"/>
          </w:tcPr>
          <w:p>
            <w:pPr>
              <w:spacing w:after="0"/>
            </w:pPr>
            <w:r>
              <w:rPr>
                <w:rFonts w:ascii="Arial" w:hAnsi="Arial" w:cs="Arial" w:eastAsia="Arial"/>
                <w:b w:val="0"/>
                <w:color w:val="111111"/>
                <w:sz w:val="17"/>
                <w:szCs w:val="17"/>
              </w:rPr>
            </w:r>
          </w:p>
        </w:tc>
        <w:tc>
          <w:tcPr>
            <w:tcW w:type="dxa" w:w="2608"/>
          </w:tcPr>
          <w:p>
            <w:pPr>
              <w:spacing w:after="0"/>
            </w:pPr>
            <w:r>
              <w:rPr>
                <w:rFonts w:ascii="Arial" w:hAnsi="Arial" w:cs="Arial" w:eastAsia="Arial"/>
                <w:b w:val="0"/>
                <w:color w:val="111111"/>
                <w:sz w:val="17"/>
                <w:szCs w:val="17"/>
              </w:rPr>
            </w:r>
          </w:p>
        </w:tc>
      </w:tr>
      <w:tr>
        <w:trPr>
          <w:cantSplit/>
          <w:trHeight w:val="397"/>
        </w:trPr>
        <w:tc>
          <w:tcPr>
            <w:tcW w:type="dxa" w:w="3402"/>
            <w:shd w:val="clear" w:color="auto" w:fill="F4F4F4"/>
          </w:tcPr>
          <w:p>
            <w:pPr>
              <w:spacing w:after="0"/>
            </w:pPr>
            <w:r>
              <w:rPr>
                <w:rFonts w:ascii="Arial" w:hAnsi="Arial" w:cs="Arial" w:eastAsia="Arial"/>
                <w:b w:val="0"/>
                <w:color w:val="111111"/>
                <w:sz w:val="17"/>
                <w:szCs w:val="17"/>
              </w:rPr>
              <w:t>IT / system administrator</w:t>
            </w:r>
          </w:p>
        </w:tc>
        <w:tc>
          <w:tcPr>
            <w:tcW w:type="dxa" w:w="2041"/>
            <w:shd w:val="clear" w:color="auto" w:fill="F4F4F4"/>
          </w:tcPr>
          <w:p>
            <w:pPr>
              <w:spacing w:after="0"/>
            </w:pPr>
            <w:r>
              <w:rPr>
                <w:rFonts w:ascii="Arial" w:hAnsi="Arial" w:cs="Arial" w:eastAsia="Arial"/>
                <w:b w:val="0"/>
                <w:color w:val="111111"/>
                <w:sz w:val="17"/>
                <w:szCs w:val="17"/>
              </w:rPr>
            </w:r>
          </w:p>
        </w:tc>
        <w:tc>
          <w:tcPr>
            <w:tcW w:type="dxa" w:w="1701"/>
            <w:shd w:val="clear" w:color="auto" w:fill="F4F4F4"/>
          </w:tcPr>
          <w:p>
            <w:pPr>
              <w:spacing w:after="0"/>
            </w:pPr>
            <w:r>
              <w:rPr>
                <w:rFonts w:ascii="Arial" w:hAnsi="Arial" w:cs="Arial" w:eastAsia="Arial"/>
                <w:b w:val="0"/>
                <w:color w:val="111111"/>
                <w:sz w:val="17"/>
                <w:szCs w:val="17"/>
              </w:rPr>
            </w:r>
          </w:p>
        </w:tc>
        <w:tc>
          <w:tcPr>
            <w:tcW w:type="dxa" w:w="2608"/>
            <w:shd w:val="clear" w:color="auto" w:fill="F4F4F4"/>
          </w:tcPr>
          <w:p>
            <w:pPr>
              <w:spacing w:after="0"/>
            </w:pPr>
            <w:r>
              <w:rPr>
                <w:rFonts w:ascii="Arial" w:hAnsi="Arial" w:cs="Arial" w:eastAsia="Arial"/>
                <w:b w:val="0"/>
                <w:color w:val="111111"/>
                <w:sz w:val="17"/>
                <w:szCs w:val="17"/>
              </w:rPr>
            </w:r>
          </w:p>
        </w:tc>
      </w:tr>
      <w:tr>
        <w:trPr>
          <w:cantSplit/>
          <w:trHeight w:val="397"/>
        </w:trPr>
        <w:tc>
          <w:tcPr>
            <w:tcW w:type="dxa" w:w="3402"/>
          </w:tcPr>
          <w:p>
            <w:pPr>
              <w:spacing w:after="0"/>
            </w:pPr>
            <w:r>
              <w:rPr>
                <w:rFonts w:ascii="Arial" w:hAnsi="Arial" w:cs="Arial" w:eastAsia="Arial"/>
                <w:b w:val="0"/>
                <w:color w:val="111111"/>
                <w:sz w:val="17"/>
                <w:szCs w:val="17"/>
              </w:rPr>
              <w:t>Data protection officer (if appointed)</w:t>
            </w:r>
          </w:p>
        </w:tc>
        <w:tc>
          <w:tcPr>
            <w:tcW w:type="dxa" w:w="2041"/>
          </w:tcPr>
          <w:p>
            <w:pPr>
              <w:spacing w:after="0"/>
            </w:pPr>
            <w:r>
              <w:rPr>
                <w:rFonts w:ascii="Arial" w:hAnsi="Arial" w:cs="Arial" w:eastAsia="Arial"/>
                <w:b w:val="0"/>
                <w:color w:val="111111"/>
                <w:sz w:val="17"/>
                <w:szCs w:val="17"/>
              </w:rPr>
            </w:r>
          </w:p>
        </w:tc>
        <w:tc>
          <w:tcPr>
            <w:tcW w:type="dxa" w:w="1701"/>
          </w:tcPr>
          <w:p>
            <w:pPr>
              <w:spacing w:after="0"/>
            </w:pPr>
            <w:r>
              <w:rPr>
                <w:rFonts w:ascii="Arial" w:hAnsi="Arial" w:cs="Arial" w:eastAsia="Arial"/>
                <w:b w:val="0"/>
                <w:color w:val="111111"/>
                <w:sz w:val="17"/>
                <w:szCs w:val="17"/>
              </w:rPr>
            </w:r>
          </w:p>
        </w:tc>
        <w:tc>
          <w:tcPr>
            <w:tcW w:type="dxa" w:w="2608"/>
          </w:tcPr>
          <w:p>
            <w:pPr>
              <w:spacing w:after="0"/>
            </w:pPr>
            <w:r>
              <w:rPr>
                <w:rFonts w:ascii="Arial" w:hAnsi="Arial" w:cs="Arial" w:eastAsia="Arial"/>
                <w:b w:val="0"/>
                <w:color w:val="111111"/>
                <w:sz w:val="17"/>
                <w:szCs w:val="17"/>
              </w:rPr>
            </w:r>
          </w:p>
        </w:tc>
      </w:tr>
      <w:tr>
        <w:trPr>
          <w:cantSplit/>
          <w:trHeight w:val="397"/>
        </w:trPr>
        <w:tc>
          <w:tcPr>
            <w:tcW w:type="dxa" w:w="3402"/>
            <w:shd w:val="clear" w:color="auto" w:fill="F4F4F4"/>
          </w:tcPr>
          <w:p>
            <w:pPr>
              <w:spacing w:after="0"/>
            </w:pPr>
            <w:r>
              <w:rPr>
                <w:rFonts w:ascii="Arial" w:hAnsi="Arial" w:cs="Arial" w:eastAsia="Arial"/>
                <w:b w:val="0"/>
                <w:color w:val="111111"/>
                <w:sz w:val="17"/>
                <w:szCs w:val="17"/>
              </w:rPr>
              <w:t>External lawyer</w:t>
            </w:r>
          </w:p>
        </w:tc>
        <w:tc>
          <w:tcPr>
            <w:tcW w:type="dxa" w:w="2041"/>
            <w:shd w:val="clear" w:color="auto" w:fill="F4F4F4"/>
          </w:tcPr>
          <w:p>
            <w:pPr>
              <w:spacing w:after="0"/>
            </w:pPr>
            <w:r>
              <w:rPr>
                <w:rFonts w:ascii="Arial" w:hAnsi="Arial" w:cs="Arial" w:eastAsia="Arial"/>
                <w:b w:val="0"/>
                <w:color w:val="111111"/>
                <w:sz w:val="17"/>
                <w:szCs w:val="17"/>
              </w:rPr>
            </w:r>
          </w:p>
        </w:tc>
        <w:tc>
          <w:tcPr>
            <w:tcW w:type="dxa" w:w="1701"/>
            <w:shd w:val="clear" w:color="auto" w:fill="F4F4F4"/>
          </w:tcPr>
          <w:p>
            <w:pPr>
              <w:spacing w:after="0"/>
            </w:pPr>
            <w:r>
              <w:rPr>
                <w:rFonts w:ascii="Arial" w:hAnsi="Arial" w:cs="Arial" w:eastAsia="Arial"/>
                <w:b w:val="0"/>
                <w:color w:val="111111"/>
                <w:sz w:val="17"/>
                <w:szCs w:val="17"/>
              </w:rPr>
            </w:r>
          </w:p>
        </w:tc>
        <w:tc>
          <w:tcPr>
            <w:tcW w:type="dxa" w:w="2608"/>
            <w:shd w:val="clear" w:color="auto" w:fill="F4F4F4"/>
          </w:tcPr>
          <w:p>
            <w:pPr>
              <w:spacing w:after="0"/>
            </w:pPr>
            <w:r>
              <w:rPr>
                <w:rFonts w:ascii="Arial" w:hAnsi="Arial" w:cs="Arial" w:eastAsia="Arial"/>
                <w:b w:val="0"/>
                <w:color w:val="111111"/>
                <w:sz w:val="17"/>
                <w:szCs w:val="17"/>
              </w:rPr>
            </w:r>
          </w:p>
        </w:tc>
      </w:tr>
      <w:tr>
        <w:trPr>
          <w:cantSplit/>
          <w:trHeight w:val="397"/>
        </w:trPr>
        <w:tc>
          <w:tcPr>
            <w:tcW w:type="dxa" w:w="3402"/>
          </w:tcPr>
          <w:p>
            <w:pPr>
              <w:spacing w:after="0"/>
            </w:pPr>
            <w:r>
              <w:rPr>
                <w:rFonts w:ascii="Arial" w:hAnsi="Arial" w:cs="Arial" w:eastAsia="Arial"/>
                <w:b w:val="0"/>
                <w:color w:val="111111"/>
                <w:sz w:val="17"/>
                <w:szCs w:val="17"/>
              </w:rPr>
              <w:t>Outsourced accountant / payroll vendor</w:t>
            </w:r>
          </w:p>
        </w:tc>
        <w:tc>
          <w:tcPr>
            <w:tcW w:type="dxa" w:w="2041"/>
          </w:tcPr>
          <w:p>
            <w:pPr>
              <w:spacing w:after="0"/>
            </w:pPr>
            <w:r>
              <w:rPr>
                <w:rFonts w:ascii="Arial" w:hAnsi="Arial" w:cs="Arial" w:eastAsia="Arial"/>
                <w:b w:val="0"/>
                <w:color w:val="111111"/>
                <w:sz w:val="17"/>
                <w:szCs w:val="17"/>
              </w:rPr>
            </w:r>
          </w:p>
        </w:tc>
        <w:tc>
          <w:tcPr>
            <w:tcW w:type="dxa" w:w="1701"/>
          </w:tcPr>
          <w:p>
            <w:pPr>
              <w:spacing w:after="0"/>
            </w:pPr>
            <w:r>
              <w:rPr>
                <w:rFonts w:ascii="Arial" w:hAnsi="Arial" w:cs="Arial" w:eastAsia="Arial"/>
                <w:b w:val="0"/>
                <w:color w:val="111111"/>
                <w:sz w:val="17"/>
                <w:szCs w:val="17"/>
              </w:rPr>
            </w:r>
          </w:p>
        </w:tc>
        <w:tc>
          <w:tcPr>
            <w:tcW w:type="dxa" w:w="2608"/>
          </w:tcPr>
          <w:p>
            <w:pPr>
              <w:spacing w:after="0"/>
            </w:pPr>
            <w:r>
              <w:rPr>
                <w:rFonts w:ascii="Arial" w:hAnsi="Arial" w:cs="Arial" w:eastAsia="Arial"/>
                <w:b w:val="0"/>
                <w:color w:val="111111"/>
                <w:sz w:val="17"/>
                <w:szCs w:val="17"/>
              </w:rPr>
            </w:r>
          </w:p>
        </w:tc>
      </w:tr>
      <w:tr>
        <w:trPr>
          <w:cantSplit/>
          <w:trHeight w:val="397"/>
        </w:trPr>
        <w:tc>
          <w:tcPr>
            <w:tcW w:type="dxa" w:w="3402"/>
            <w:shd w:val="clear" w:color="auto" w:fill="F4F4F4"/>
          </w:tcPr>
          <w:p>
            <w:pPr>
              <w:spacing w:after="0"/>
            </w:pPr>
            <w:r>
              <w:rPr>
                <w:rFonts w:ascii="Arial" w:hAnsi="Arial" w:cs="Arial" w:eastAsia="Arial"/>
                <w:b w:val="0"/>
                <w:color w:val="111111"/>
                <w:sz w:val="17"/>
                <w:szCs w:val="17"/>
              </w:rPr>
              <w:t>Regulator portal / hotline (from the regulator's website)</w:t>
            </w:r>
          </w:p>
        </w:tc>
        <w:tc>
          <w:tcPr>
            <w:tcW w:type="dxa" w:w="2041"/>
            <w:shd w:val="clear" w:color="auto" w:fill="F4F4F4"/>
          </w:tcPr>
          <w:p>
            <w:pPr>
              <w:spacing w:after="0"/>
            </w:pPr>
            <w:r>
              <w:rPr>
                <w:rFonts w:ascii="Arial" w:hAnsi="Arial" w:cs="Arial" w:eastAsia="Arial"/>
                <w:b w:val="0"/>
                <w:color w:val="111111"/>
                <w:sz w:val="17"/>
                <w:szCs w:val="17"/>
              </w:rPr>
            </w:r>
          </w:p>
        </w:tc>
        <w:tc>
          <w:tcPr>
            <w:tcW w:type="dxa" w:w="1701"/>
            <w:shd w:val="clear" w:color="auto" w:fill="F4F4F4"/>
          </w:tcPr>
          <w:p>
            <w:pPr>
              <w:spacing w:after="0"/>
            </w:pPr>
            <w:r>
              <w:rPr>
                <w:rFonts w:ascii="Arial" w:hAnsi="Arial" w:cs="Arial" w:eastAsia="Arial"/>
                <w:b w:val="0"/>
                <w:color w:val="111111"/>
                <w:sz w:val="17"/>
                <w:szCs w:val="17"/>
              </w:rPr>
            </w:r>
          </w:p>
        </w:tc>
        <w:tc>
          <w:tcPr>
            <w:tcW w:type="dxa" w:w="2608"/>
            <w:shd w:val="clear" w:color="auto" w:fill="F4F4F4"/>
          </w:tcPr>
          <w:p>
            <w:pPr>
              <w:spacing w:after="0"/>
            </w:pPr>
            <w:r>
              <w:rPr>
                <w:rFonts w:ascii="Arial" w:hAnsi="Arial" w:cs="Arial" w:eastAsia="Arial"/>
                <w:b w:val="0"/>
                <w:color w:val="111111"/>
                <w:sz w:val="17"/>
                <w:szCs w:val="17"/>
              </w:rPr>
            </w:r>
          </w:p>
        </w:tc>
      </w:tr>
    </w:tbl>
    <w:p>
      <w:pPr>
        <w:spacing w:after="0" w:before="0" w:line="120" w:lineRule="exact"/>
      </w:pPr>
      <w:r>
        <w:rPr>
          <w:rFonts w:ascii="Arial" w:hAnsi="Arial" w:cs="Arial" w:eastAsia="Arial"/>
          <w:sz w:val="12"/>
          <w:szCs w:val="12"/>
        </w:rPr>
      </w:r>
    </w:p>
    <w:p>
      <w:pPr>
        <w:pStyle w:val="Heading1"/>
      </w:pPr>
      <w:r>
        <w:t>7. Ten questions to ask an outsourced accountant or payroll provider</w:t>
      </w:r>
    </w:p>
    <w:p>
      <w:pPr>
        <w:spacing w:after="40"/>
        <w:ind w:left="340" w:hanging="255"/>
      </w:pPr>
      <w:r>
        <w:rPr>
          <w:rFonts w:ascii="Segoe UI Symbol" w:hAnsi="Segoe UI Symbol" w:cs="Segoe UI Symbol" w:eastAsia="Segoe UI Symbol"/>
          <w:color w:val="111111"/>
          <w:sz w:val="21"/>
          <w:szCs w:val="21"/>
        </w:rPr>
        <w:t xml:space="preserve">☐ </w:t>
      </w:r>
      <w:r>
        <w:rPr>
          <w:rFonts w:ascii="Arial" w:hAnsi="Arial" w:cs="Arial" w:eastAsia="Arial"/>
          <w:sz w:val="19"/>
          <w:szCs w:val="19"/>
        </w:rPr>
        <w:t>Which named people will access our data, and how are they vetted and bound to confidentiality?</w:t>
      </w:r>
    </w:p>
    <w:p>
      <w:pPr>
        <w:spacing w:after="40"/>
        <w:ind w:left="340" w:hanging="255"/>
      </w:pPr>
      <w:r>
        <w:rPr>
          <w:rFonts w:ascii="Segoe UI Symbol" w:hAnsi="Segoe UI Symbol" w:cs="Segoe UI Symbol" w:eastAsia="Segoe UI Symbol"/>
          <w:color w:val="111111"/>
          <w:sz w:val="21"/>
          <w:szCs w:val="21"/>
        </w:rPr>
        <w:t xml:space="preserve">☐ </w:t>
      </w:r>
      <w:r>
        <w:rPr>
          <w:rFonts w:ascii="Arial" w:hAnsi="Arial" w:cs="Arial" w:eastAsia="Arial"/>
          <w:sz w:val="19"/>
          <w:szCs w:val="19"/>
        </w:rPr>
        <w:t>Will you work inside our accounting system, or will our data sit in yours?</w:t>
      </w:r>
    </w:p>
    <w:p>
      <w:pPr>
        <w:spacing w:after="40"/>
        <w:ind w:left="340" w:hanging="255"/>
      </w:pPr>
      <w:r>
        <w:rPr>
          <w:rFonts w:ascii="Segoe UI Symbol" w:hAnsi="Segoe UI Symbol" w:cs="Segoe UI Symbol" w:eastAsia="Segoe UI Symbol"/>
          <w:color w:val="111111"/>
          <w:sz w:val="21"/>
          <w:szCs w:val="21"/>
        </w:rPr>
        <w:t xml:space="preserve">☐ </w:t>
      </w:r>
      <w:r>
        <w:rPr>
          <w:rFonts w:ascii="Arial" w:hAnsi="Arial" w:cs="Arial" w:eastAsia="Arial"/>
          <w:sz w:val="19"/>
          <w:szCs w:val="19"/>
        </w:rPr>
        <w:t>Where is the data stored, and is any of it transferred or accessible outside the country?</w:t>
      </w:r>
    </w:p>
    <w:p>
      <w:pPr>
        <w:spacing w:after="40"/>
        <w:ind w:left="340" w:hanging="255"/>
      </w:pPr>
      <w:r>
        <w:rPr>
          <w:rFonts w:ascii="Segoe UI Symbol" w:hAnsi="Segoe UI Symbol" w:cs="Segoe UI Symbol" w:eastAsia="Segoe UI Symbol"/>
          <w:color w:val="111111"/>
          <w:sz w:val="21"/>
          <w:szCs w:val="21"/>
        </w:rPr>
        <w:t xml:space="preserve">☐ </w:t>
      </w:r>
      <w:r>
        <w:rPr>
          <w:rFonts w:ascii="Arial" w:hAnsi="Arial" w:cs="Arial" w:eastAsia="Arial"/>
          <w:sz w:val="19"/>
          <w:szCs w:val="19"/>
        </w:rPr>
        <w:t>Who are your sub-processors (cloud, software, freelancers)? Show us the list.</w:t>
      </w:r>
    </w:p>
    <w:p>
      <w:pPr>
        <w:spacing w:after="40"/>
        <w:ind w:left="340" w:hanging="255"/>
      </w:pPr>
      <w:r>
        <w:rPr>
          <w:rFonts w:ascii="Segoe UI Symbol" w:hAnsi="Segoe UI Symbol" w:cs="Segoe UI Symbol" w:eastAsia="Segoe UI Symbol"/>
          <w:color w:val="111111"/>
          <w:sz w:val="21"/>
          <w:szCs w:val="21"/>
        </w:rPr>
        <w:t xml:space="preserve">☐ </w:t>
      </w:r>
      <w:r>
        <w:rPr>
          <w:rFonts w:ascii="Arial" w:hAnsi="Arial" w:cs="Arial" w:eastAsia="Arial"/>
          <w:sz w:val="19"/>
          <w:szCs w:val="19"/>
        </w:rPr>
        <w:t>Can we see your standard data processing terms, and will you accept our changes?</w:t>
      </w:r>
    </w:p>
    <w:p>
      <w:pPr>
        <w:spacing w:after="40"/>
        <w:ind w:left="340" w:hanging="255"/>
      </w:pPr>
      <w:r>
        <w:rPr>
          <w:rFonts w:ascii="Segoe UI Symbol" w:hAnsi="Segoe UI Symbol" w:cs="Segoe UI Symbol" w:eastAsia="Segoe UI Symbol"/>
          <w:color w:val="111111"/>
          <w:sz w:val="21"/>
          <w:szCs w:val="21"/>
        </w:rPr>
        <w:t xml:space="preserve">☐ </w:t>
      </w:r>
      <w:r>
        <w:rPr>
          <w:rFonts w:ascii="Arial" w:hAnsi="Arial" w:cs="Arial" w:eastAsia="Arial"/>
          <w:sz w:val="19"/>
          <w:szCs w:val="19"/>
        </w:rPr>
        <w:t>How quickly will you tell us about a breach, and who will call us?</w:t>
      </w:r>
    </w:p>
    <w:p>
      <w:pPr>
        <w:spacing w:after="40"/>
        <w:ind w:left="340" w:hanging="255"/>
      </w:pPr>
      <w:r>
        <w:rPr>
          <w:rFonts w:ascii="Segoe UI Symbol" w:hAnsi="Segoe UI Symbol" w:cs="Segoe UI Symbol" w:eastAsia="Segoe UI Symbol"/>
          <w:color w:val="111111"/>
          <w:sz w:val="21"/>
          <w:szCs w:val="21"/>
        </w:rPr>
        <w:t xml:space="preserve">☐ </w:t>
      </w:r>
      <w:r>
        <w:rPr>
          <w:rFonts w:ascii="Arial" w:hAnsi="Arial" w:cs="Arial" w:eastAsia="Arial"/>
          <w:sz w:val="19"/>
          <w:szCs w:val="19"/>
        </w:rPr>
        <w:t>Do you use MFA, encrypted devices and named logins for all staff?</w:t>
      </w:r>
    </w:p>
    <w:p>
      <w:pPr>
        <w:spacing w:after="40"/>
        <w:ind w:left="340" w:hanging="255"/>
      </w:pPr>
      <w:r>
        <w:rPr>
          <w:rFonts w:ascii="Segoe UI Symbol" w:hAnsi="Segoe UI Symbol" w:cs="Segoe UI Symbol" w:eastAsia="Segoe UI Symbol"/>
          <w:color w:val="111111"/>
          <w:sz w:val="21"/>
          <w:szCs w:val="21"/>
        </w:rPr>
        <w:t xml:space="preserve">☐ </w:t>
      </w:r>
      <w:r>
        <w:rPr>
          <w:rFonts w:ascii="Arial" w:hAnsi="Arial" w:cs="Arial" w:eastAsia="Arial"/>
          <w:sz w:val="19"/>
          <w:szCs w:val="19"/>
        </w:rPr>
        <w:t>Do you hold any licence, registration or certification required for processors in our country?</w:t>
      </w:r>
    </w:p>
    <w:p>
      <w:pPr>
        <w:spacing w:after="40"/>
        <w:ind w:left="340" w:hanging="255"/>
      </w:pPr>
      <w:r>
        <w:rPr>
          <w:rFonts w:ascii="Segoe UI Symbol" w:hAnsi="Segoe UI Symbol" w:cs="Segoe UI Symbol" w:eastAsia="Segoe UI Symbol"/>
          <w:color w:val="111111"/>
          <w:sz w:val="21"/>
          <w:szCs w:val="21"/>
        </w:rPr>
        <w:t xml:space="preserve">☐ </w:t>
      </w:r>
      <w:r>
        <w:rPr>
          <w:rFonts w:ascii="Arial" w:hAnsi="Arial" w:cs="Arial" w:eastAsia="Arial"/>
          <w:sz w:val="19"/>
          <w:szCs w:val="19"/>
        </w:rPr>
        <w:t>If we end the contract, how and when do we get our data back, and how do you confirm deletion?</w:t>
      </w:r>
    </w:p>
    <w:p>
      <w:pPr>
        <w:spacing w:after="40"/>
        <w:ind w:left="340" w:hanging="255"/>
      </w:pPr>
      <w:r>
        <w:rPr>
          <w:rFonts w:ascii="Segoe UI Symbol" w:hAnsi="Segoe UI Symbol" w:cs="Segoe UI Symbol" w:eastAsia="Segoe UI Symbol"/>
          <w:color w:val="111111"/>
          <w:sz w:val="21"/>
          <w:szCs w:val="21"/>
        </w:rPr>
        <w:t xml:space="preserve">☐ </w:t>
      </w:r>
      <w:r>
        <w:rPr>
          <w:rFonts w:ascii="Arial" w:hAnsi="Arial" w:cs="Arial" w:eastAsia="Arial"/>
          <w:sz w:val="19"/>
          <w:szCs w:val="19"/>
        </w:rPr>
        <w:t>Have you had a security incident in the last two years, and what did you change afterwards?</w:t>
      </w:r>
    </w:p>
    <w:p>
      <w:pPr>
        <w:spacing w:after="80"/>
      </w:pPr>
      <w:r>
        <w:rPr>
          <w:rFonts w:ascii="Arial" w:hAnsi="Arial" w:cs="Arial" w:eastAsia="Arial"/>
          <w:i/>
          <w:color w:val="555555"/>
          <w:sz w:val="19"/>
          <w:szCs w:val="19"/>
        </w:rPr>
        <w:t>If a provider cannot answer most of these clearly and in writing, treat it as a warning sign.</w:t>
      </w:r>
    </w:p>
    <w:p>
      <w:pPr>
        <w:pStyle w:val="Heading1"/>
      </w:pPr>
      <w:r>
        <w:t>Sources checked on 4 November 2026</w:t>
      </w:r>
    </w:p>
    <w:p>
      <w:pPr>
        <w:spacing w:after="80"/>
      </w:pPr>
      <w:r>
        <w:rPr>
          <w:rFonts w:ascii="Arial" w:hAnsi="Arial" w:cs="Arial" w:eastAsia="Arial"/>
          <w:i w:val="0"/>
          <w:color w:val="555555"/>
          <w:sz w:val="17"/>
          <w:szCs w:val="17"/>
        </w:rPr>
        <w:t>Official texts are listed first. Secondary sources were used only to confirm status where the official portal could not be read directly; confirm before relying on them.</w:t>
      </w:r>
    </w:p>
    <w:p>
      <w:pPr>
        <w:spacing w:after="40"/>
      </w:pPr>
      <w:r>
        <w:rPr>
          <w:rFonts w:ascii="Arial" w:hAnsi="Arial" w:cs="Arial" w:eastAsia="Arial"/>
          <w:b/>
          <w:bCs/>
          <w:i w:val="0"/>
          <w:color w:val="111111"/>
          <w:sz w:val="16"/>
          <w:szCs w:val="16"/>
        </w:rPr>
        <w:t xml:space="preserve">Saudi PDPL (amended), official English translation, SDAIA: </w:t>
      </w:r>
      <w:r>
        <w:rPr>
          <w:rFonts w:ascii="Arial" w:hAnsi="Arial" w:cs="Arial" w:eastAsia="Arial"/>
          <w:i w:val="0"/>
          <w:color w:val="111111"/>
          <w:sz w:val="16"/>
          <w:szCs w:val="16"/>
        </w:rPr>
        <w:t>sdaia.gov.sa/en/SDAIA/about/Documents/Personal%20Data%20English%20V2-23April2023-%20Reviewed-.pdf (Arts. 8, 18, 29, 35, 36, 41).</w:t>
      </w:r>
    </w:p>
    <w:p>
      <w:pPr>
        <w:spacing w:after="40"/>
      </w:pPr>
      <w:r>
        <w:rPr>
          <w:rFonts w:ascii="Arial" w:hAnsi="Arial" w:cs="Arial" w:eastAsia="Arial"/>
          <w:b/>
          <w:bCs/>
          <w:i w:val="0"/>
          <w:color w:val="111111"/>
          <w:sz w:val="16"/>
          <w:szCs w:val="16"/>
        </w:rPr>
        <w:t xml:space="preserve">Saudi PDPL Implementing Regulation, SDAIA: </w:t>
      </w:r>
      <w:r>
        <w:rPr>
          <w:rFonts w:ascii="Arial" w:hAnsi="Arial" w:cs="Arial" w:eastAsia="Arial"/>
          <w:i w:val="0"/>
          <w:color w:val="111111"/>
          <w:sz w:val="16"/>
          <w:szCs w:val="16"/>
        </w:rPr>
        <w:t>sdaia.gov.sa/en/SDAIA/about/Documents/ImplementingRegulation.pdf (Arts. 17, 23, 24, 32, 33).</w:t>
      </w:r>
    </w:p>
    <w:p>
      <w:pPr>
        <w:spacing w:after="40"/>
      </w:pPr>
      <w:r>
        <w:rPr>
          <w:rFonts w:ascii="Arial" w:hAnsi="Arial" w:cs="Arial" w:eastAsia="Arial"/>
          <w:b/>
          <w:bCs/>
          <w:i w:val="0"/>
          <w:color w:val="111111"/>
          <w:sz w:val="16"/>
          <w:szCs w:val="16"/>
        </w:rPr>
        <w:t xml:space="preserve">SDAIA consultation on draft amendments to the Implementing Regulation (Oct 2026), reported by Al Tamimi &amp; Co.: </w:t>
      </w:r>
      <w:r>
        <w:rPr>
          <w:rFonts w:ascii="Arial" w:hAnsi="Arial" w:cs="Arial" w:eastAsia="Arial"/>
          <w:i w:val="0"/>
          <w:color w:val="111111"/>
          <w:sz w:val="16"/>
          <w:szCs w:val="16"/>
        </w:rPr>
        <w:t>tamimi.com/news/sdaia-opens-public-consultation-on-proposed-amendments-to-the-pdpl-implementing-regulation/</w:t>
      </w:r>
    </w:p>
    <w:p>
      <w:pPr>
        <w:spacing w:after="40"/>
      </w:pPr>
      <w:r>
        <w:rPr>
          <w:rFonts w:ascii="Arial" w:hAnsi="Arial" w:cs="Arial" w:eastAsia="Arial"/>
          <w:b/>
          <w:bCs/>
          <w:i w:val="0"/>
          <w:color w:val="111111"/>
          <w:sz w:val="16"/>
          <w:szCs w:val="16"/>
        </w:rPr>
        <w:t xml:space="preserve">UAE Federal Decree-Law No. 45 of 2021, UAE Legislation portal: </w:t>
      </w:r>
      <w:r>
        <w:rPr>
          <w:rFonts w:ascii="Arial" w:hAnsi="Arial" w:cs="Arial" w:eastAsia="Arial"/>
          <w:i w:val="0"/>
          <w:color w:val="111111"/>
          <w:sz w:val="16"/>
          <w:szCs w:val="16"/>
        </w:rPr>
        <w:t>uaelegislation.gov.ae/en/legislations/1972 (issue and effective dates; Arts. 2, 9, 26).</w:t>
      </w:r>
    </w:p>
    <w:p>
      <w:pPr>
        <w:spacing w:after="40"/>
      </w:pPr>
      <w:r>
        <w:rPr>
          <w:rFonts w:ascii="Arial" w:hAnsi="Arial" w:cs="Arial" w:eastAsia="Arial"/>
          <w:b/>
          <w:bCs/>
          <w:i w:val="0"/>
          <w:color w:val="111111"/>
          <w:sz w:val="16"/>
          <w:szCs w:val="16"/>
        </w:rPr>
        <w:t xml:space="preserve">UAE Executive Regulations status: not found on the portal; secondary reports dated Sep–Oct 2026 state they remain outstanding, e.g. </w:t>
      </w:r>
      <w:r>
        <w:rPr>
          <w:rFonts w:ascii="Arial" w:hAnsi="Arial" w:cs="Arial" w:eastAsia="Arial"/>
          <w:i w:val="0"/>
          <w:color w:val="111111"/>
          <w:sz w:val="16"/>
          <w:szCs w:val="16"/>
        </w:rPr>
        <w:t>itsecnow.com/post/uae-pdpl-in-2026-the-executive-regulations-still-arent-issued-heres-what-applies-today</w:t>
      </w:r>
    </w:p>
    <w:p>
      <w:pPr>
        <w:spacing w:after="40"/>
      </w:pPr>
      <w:r>
        <w:rPr>
          <w:rFonts w:ascii="Arial" w:hAnsi="Arial" w:cs="Arial" w:eastAsia="Arial"/>
          <w:b/>
          <w:bCs/>
          <w:i w:val="0"/>
          <w:color w:val="111111"/>
          <w:sz w:val="16"/>
          <w:szCs w:val="16"/>
        </w:rPr>
        <w:t xml:space="preserve">Egypt Executive Regulations, Ministerial Decree No. 816 of 2025, Official Gazette No. 244 (Supp. A), 1 Nov 2025, English translation: </w:t>
      </w:r>
      <w:r>
        <w:rPr>
          <w:rFonts w:ascii="Arial" w:hAnsi="Arial" w:cs="Arial" w:eastAsia="Arial"/>
          <w:i w:val="0"/>
          <w:color w:val="111111"/>
          <w:sz w:val="16"/>
          <w:szCs w:val="16"/>
        </w:rPr>
        <w:t>thesedonaconference.org (meeting paper 7.4) and shehatalaw.com translation (Art. 5 breach notification).</w:t>
      </w:r>
    </w:p>
    <w:p>
      <w:pPr>
        <w:spacing w:after="40"/>
      </w:pPr>
      <w:r>
        <w:rPr>
          <w:rFonts w:ascii="Arial" w:hAnsi="Arial" w:cs="Arial" w:eastAsia="Arial"/>
          <w:b/>
          <w:bCs/>
          <w:i w:val="0"/>
          <w:color w:val="111111"/>
          <w:sz w:val="16"/>
          <w:szCs w:val="16"/>
        </w:rPr>
        <w:t xml:space="preserve">Egypt adjustment period and licensing summary, Baker McKenzie (Jan 2026): </w:t>
      </w:r>
      <w:r>
        <w:rPr>
          <w:rFonts w:ascii="Arial" w:hAnsi="Arial" w:cs="Arial" w:eastAsia="Arial"/>
          <w:i w:val="0"/>
          <w:color w:val="111111"/>
          <w:sz w:val="16"/>
          <w:szCs w:val="16"/>
        </w:rPr>
        <w:t>bakermckenzie.com – "Egypt: Important Data Protection Update".</w:t>
      </w:r>
    </w:p>
    <w:p>
      <w:r>
        <w:br w:type="page"/>
      </w:r>
    </w:p>
    <w:p>
      <w:pPr>
        <w:keepNext/>
        <w:bidi/>
        <w:spacing w:after="120"/>
      </w:pPr>
      <w:r>
        <w:rPr>
          <w:rFonts w:ascii="Arial" w:hAnsi="Arial" w:cs="Arial" w:eastAsia="Arial"/>
          <w:b/>
          <w:bCs/>
          <w:color w:val="111111"/>
          <w:sz w:val="30"/>
          <w:szCs w:val="30"/>
          <w:rtl/>
        </w:rPr>
        <w:t>ملخص بالعربية</w:t>
      </w:r>
    </w:p>
    <w:p>
      <w:pPr>
        <w:keepNext/>
        <w:bidi/>
        <w:spacing w:after="60"/>
      </w:pPr>
      <w:r>
        <w:rPr>
          <w:rFonts w:ascii="Arial" w:hAnsi="Arial" w:cs="Arial" w:eastAsia="Arial"/>
          <w:b/>
          <w:bCs/>
          <w:color w:val="111111"/>
          <w:sz w:val="24"/>
          <w:szCs w:val="24"/>
          <w:rtl/>
        </w:rPr>
        <w:t>حماية البيانات في الإدارة المالية — قائمة تحقق لصاحب المنشأة</w:t>
      </w:r>
    </w:p>
    <w:p>
      <w:pPr>
        <w:bidi/>
        <w:spacing w:after="60"/>
      </w:pPr>
      <w:r>
        <w:rPr>
          <w:rFonts w:ascii="Arial" w:hAnsi="Arial" w:cs="Arial" w:eastAsia="Arial"/>
          <w:b w:val="0"/>
          <w:color w:val="555555"/>
          <w:sz w:val="19"/>
          <w:szCs w:val="19"/>
          <w:rtl/>
        </w:rPr>
        <w:t>هذه القائمة إرشادات عملية عامة وليست استشارة قانونية. تأكّد من القواعد الحالية مع الجهة الرقابية ومحامٍ مرخّص في بلدك. تمت مراجعة المراجع القانونية بتاريخ 4 نوفمبر 2026.</w:t>
      </w:r>
    </w:p>
    <w:p>
      <w:pPr>
        <w:bidi/>
        <w:spacing w:after="60"/>
      </w:pPr>
      <w:r>
        <w:rPr>
          <w:rFonts w:ascii="Arial" w:hAnsi="Arial" w:cs="Arial" w:eastAsia="Arial"/>
          <w:b w:val="0"/>
          <w:color w:val="111111"/>
          <w:sz w:val="19"/>
          <w:szCs w:val="19"/>
          <w:rtl/>
        </w:rPr>
        <w:t>1. حدّد القانون المطبّق: نظام حماية البيانات الشخصية السعودي (سدايا)، المرسوم بقانون اتحادي رقم 45 لسنة 2021 في الإمارات، أو القانون المصري رقم 151 لسنة 2020 ولائحته التنفيذية (الجهة: مركز حماية البيانات الشخصية).</w:t>
      </w:r>
    </w:p>
    <w:p>
      <w:pPr>
        <w:bidi/>
        <w:spacing w:after="60"/>
      </w:pPr>
      <w:r>
        <w:rPr>
          <w:rFonts w:ascii="Arial" w:hAnsi="Arial" w:cs="Arial" w:eastAsia="Arial"/>
          <w:b w:val="0"/>
          <w:color w:val="111111"/>
          <w:sz w:val="19"/>
          <w:szCs w:val="19"/>
          <w:rtl/>
        </w:rPr>
        <w:t>2. اعمل جرداً للبيانات الشخصية لدى الإدارة المالية: الرواتب والحسابات البنكية للموظفين، صور الهويات والإقامات، التقارير الطبية، بيانات العملاء الأفراد والموردين الأفراد.</w:t>
      </w:r>
    </w:p>
    <w:p>
      <w:pPr>
        <w:bidi/>
        <w:spacing w:after="60"/>
      </w:pPr>
      <w:r>
        <w:rPr>
          <w:rFonts w:ascii="Arial" w:hAnsi="Arial" w:cs="Arial" w:eastAsia="Arial"/>
          <w:b w:val="0"/>
          <w:color w:val="111111"/>
          <w:sz w:val="19"/>
          <w:szCs w:val="19"/>
          <w:rtl/>
        </w:rPr>
        <w:t>3. ضوابط الوصول: مستخدمون بأسماء محددة، تحقق متعدد العوامل، صلاحيات حسب الدور، وإلغاء الوصول فور انتهاء العمل.</w:t>
      </w:r>
    </w:p>
    <w:p>
      <w:pPr>
        <w:bidi/>
        <w:spacing w:after="60"/>
      </w:pPr>
      <w:r>
        <w:rPr>
          <w:rFonts w:ascii="Arial" w:hAnsi="Arial" w:cs="Arial" w:eastAsia="Arial"/>
          <w:b w:val="0"/>
          <w:color w:val="111111"/>
          <w:sz w:val="19"/>
          <w:szCs w:val="19"/>
          <w:rtl/>
        </w:rPr>
        <w:t>4. مدة الاحتفاظ: أدخل الحد الأدنى المطلوب من مصلحة الضرائب والأنظمة التجارية ونظام العمل في بلدك، ثم أتلف البيانات بشكل آمن.</w:t>
      </w:r>
    </w:p>
    <w:p>
      <w:pPr>
        <w:bidi/>
        <w:spacing w:after="60"/>
      </w:pPr>
      <w:r>
        <w:rPr>
          <w:rFonts w:ascii="Arial" w:hAnsi="Arial" w:cs="Arial" w:eastAsia="Arial"/>
          <w:b w:val="0"/>
          <w:color w:val="111111"/>
          <w:sz w:val="19"/>
          <w:szCs w:val="19"/>
          <w:rtl/>
        </w:rPr>
        <w:t>5. المورّدون: عقد يحدد الغرض وفئات البيانات والمدة، والإبلاغ عن الاختراق دون تأخير، والإفصاح عن المعالجين الفرعيين، وإعادة البيانات وحذفها عند الخروج.</w:t>
      </w:r>
    </w:p>
    <w:p>
      <w:pPr>
        <w:bidi/>
        <w:spacing w:after="60"/>
      </w:pPr>
      <w:r>
        <w:rPr>
          <w:rFonts w:ascii="Arial" w:hAnsi="Arial" w:cs="Arial" w:eastAsia="Arial"/>
          <w:b w:val="0"/>
          <w:color w:val="111111"/>
          <w:sz w:val="19"/>
          <w:szCs w:val="19"/>
          <w:rtl/>
        </w:rPr>
        <w:t>6. الاختراق: في السعودية يُبلَّغ سدايا خلال 72 ساعة إذا كان قد يُلحق ضرراً، وفي مصر يُبلَّغ المركز خلال 72 ساعة وصاحب البيانات خلال 3 أيام عمل. جهّز قائمة جهات الاتصال الآن.</w:t>
      </w:r>
    </w:p>
    <w:p>
      <w:pPr>
        <w:pBdr>
          <w:bottom w:val="single" w:sz="6" w:space="2" w:color="CC1923"/>
        </w:pBdr>
        <w:spacing w:before="200"/>
      </w:pPr>
    </w:p>
    <w:p>
      <w:pPr>
        <w:spacing w:after="80"/>
      </w:pPr>
      <w:r>
        <w:rPr>
          <w:rFonts w:ascii="Arial" w:hAnsi="Arial" w:cs="Arial" w:eastAsia="Arial"/>
          <w:b/>
          <w:bCs/>
          <w:i w:val="0"/>
          <w:color w:val="555555"/>
          <w:sz w:val="17"/>
          <w:szCs w:val="17"/>
        </w:rPr>
        <w:t>Axcell Financial Consulting</w:t>
      </w:r>
      <w:r>
        <w:rPr>
          <w:rFonts w:ascii="Arial" w:hAnsi="Arial" w:cs="Arial" w:eastAsia="Arial"/>
          <w:i w:val="0"/>
          <w:color w:val="555555"/>
          <w:sz w:val="17"/>
          <w:szCs w:val="17"/>
        </w:rPr>
        <w:t xml:space="preserve">  ·  axcellservice.com · Free template · Book a free 30-minute consultation: axcellservice.com/contact</w:t>
      </w:r>
    </w:p>
    <w:sectPr w:rsidR="00FC693F" w:rsidRPr="0006063C" w:rsidSect="00034616">
      <w:headerReference w:type="default" r:id="rId9"/>
      <w:footerReference w:type="default" r:id="rId10"/>
      <w:pgSz w:w="11906" w:h="16838"/>
      <w:pgMar w:top="907" w:right="1077" w:bottom="850" w:left="1077" w:header="454"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val="clear" w:pos="9360"/>
        <w:tab w:val="clear" w:pos="4680"/>
        <w:tab w:pos="9752" w:val="right"/>
      </w:tabs>
      <w:spacing w:after="0"/>
    </w:pPr>
    <w:r>
      <w:rPr>
        <w:rFonts w:ascii="Arial" w:hAnsi="Arial" w:cs="Arial" w:eastAsia="Arial"/>
        <w:color w:val="555555"/>
        <w:sz w:val="15"/>
        <w:szCs w:val="15"/>
      </w:rPr>
      <w:t>axcellservice.com · Free template · Book a free 30-minute consultation: axcellservice.com/contact</w:t>
    </w:r>
    <w:r>
      <w:rPr>
        <w:rFonts w:ascii="Arial" w:hAnsi="Arial" w:cs="Arial" w:eastAsia="Arial"/>
        <w:color w:val="555555"/>
        <w:sz w:val="15"/>
        <w:szCs w:val="15"/>
      </w:rPr>
      <w:tab/>
      <w:t xml:space="preserve">Page </w:t>
    </w:r>
    <w:r>
      <w:rPr>
        <w:rFonts w:ascii="Arial" w:hAnsi="Arial" w:cs="Arial" w:eastAsia="Arial"/>
        <w:color w:val="555555"/>
        <w:sz w:val="15"/>
        <w:szCs w:val="15"/>
      </w:rPr>
      <w:fldChar w:fldCharType="begin"/>
      <w:instrText xml:space="preserve"> PAGE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8" w:space="4" w:color="CC1923"/>
      </w:pBdr>
      <w:tabs>
        <w:tab w:val="clear" w:pos="9360"/>
        <w:tab w:val="clear" w:pos="4680"/>
        <w:tab w:pos="9752" w:val="right"/>
      </w:tabs>
      <w:spacing w:after="0"/>
    </w:pPr>
    <w:r>
      <w:drawing>
        <wp:inline xmlns:a="http://schemas.openxmlformats.org/drawingml/2006/main" xmlns:pic="http://schemas.openxmlformats.org/drawingml/2006/picture">
          <wp:extent cx="616689" cy="270000"/>
          <wp:docPr id="1" name="Picture 1"/>
          <wp:cNvGraphicFramePr>
            <a:graphicFrameLocks noChangeAspect="1"/>
          </wp:cNvGraphicFramePr>
          <a:graphic>
            <a:graphicData uri="http://schemas.openxmlformats.org/drawingml/2006/picture">
              <pic:pic>
                <pic:nvPicPr>
                  <pic:cNvPr id="0" name="axcell_mark.png"/>
                  <pic:cNvPicPr/>
                </pic:nvPicPr>
                <pic:blipFill>
                  <a:blip r:embed="rId1"/>
                  <a:stretch>
                    <a:fillRect/>
                  </a:stretch>
                </pic:blipFill>
                <pic:spPr>
                  <a:xfrm>
                    <a:off x="0" y="0"/>
                    <a:ext cx="616689" cy="270000"/>
                  </a:xfrm>
                  <a:prstGeom prst="rect"/>
                </pic:spPr>
              </pic:pic>
            </a:graphicData>
          </a:graphic>
        </wp:inline>
      </w:drawing>
    </w:r>
    <w:r>
      <w:rPr>
        <w:rFonts w:ascii="Arial" w:hAnsi="Arial" w:cs="Arial" w:eastAsia="Arial"/>
        <w:b/>
        <w:bCs/>
        <w:color w:val="111111"/>
        <w:sz w:val="18"/>
        <w:szCs w:val="18"/>
      </w:rPr>
      <w:t xml:space="preserve">  Axcell Financial Consulting</w:t>
    </w:r>
    <w:r>
      <w:rPr>
        <w:rFonts w:ascii="Arial" w:hAnsi="Arial" w:cs="Arial" w:eastAsia="Arial"/>
        <w:color w:val="555555"/>
        <w:sz w:val="16"/>
        <w:szCs w:val="16"/>
      </w:rPr>
      <w:tab/>
      <w:t>Data Protection Checklist for Finance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Arial" w:hAnsi="Arial" w:cs="Arial" w:eastAsia="Arial"/>
      <w:color w:val="111111"/>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Arial" w:hAnsi="Arial" w:cs="Arial" w:eastAsia="Arial"/>
      <w:b/>
      <w:bCs/>
      <w:color w:val="111111"/>
      <w:sz w:val="28"/>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Arial" w:hAnsi="Arial" w:cs="Arial" w:eastAsia="Arial"/>
      <w:b/>
      <w:bCs/>
      <w:color w:val="11111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Protection Checklist for Your Finance Function</dc:title>
  <dc:subject>Owner checklist: personal data in finance, KSA / UAE / Egypt</dc:subject>
  <dc:creator>Axcell Financial Consulting</dc:creator>
  <cp:keywords>PDPL, data protection, finance, Saudi Arabia, UAE, Egypt, checklist</cp:keywords>
  <dc:description>Free template from axcellservice.com</dc:description>
  <cp:lastModifiedBy/>
  <cp:revision>1</cp:revision>
  <dcterms:created xsi:type="dcterms:W3CDTF">2013-12-23T23:15:00Z</dcterms:created>
  <dcterms:modified xsi:type="dcterms:W3CDTF">2013-12-23T23:15:00Z</dcterms:modified>
  <cp:category/>
</cp:coreProperties>
</file>