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drawing>
          <wp:inline xmlns:a="http://schemas.openxmlformats.org/drawingml/2006/main" xmlns:pic="http://schemas.openxmlformats.org/drawingml/2006/picture">
            <wp:extent cx="1296000" cy="561600"/>
            <wp:docPr id="1" name="Picture 1"/>
            <wp:cNvGraphicFramePr>
              <a:graphicFrameLocks noChangeAspect="1"/>
            </wp:cNvGraphicFramePr>
            <a:graphic>
              <a:graphicData uri="http://schemas.openxmlformats.org/drawingml/2006/picture">
                <pic:pic>
                  <pic:nvPicPr>
                    <pic:cNvPr id="0" name="logo_small.png"/>
                    <pic:cNvPicPr/>
                  </pic:nvPicPr>
                  <pic:blipFill>
                    <a:blip r:embed="rId11"/>
                    <a:stretch>
                      <a:fillRect/>
                    </a:stretch>
                  </pic:blipFill>
                  <pic:spPr>
                    <a:xfrm>
                      <a:off x="0" y="0"/>
                      <a:ext cx="1296000" cy="561600"/>
                    </a:xfrm>
                    <a:prstGeom prst="rect"/>
                  </pic:spPr>
                </pic:pic>
              </a:graphicData>
            </a:graphic>
          </wp:inline>
        </w:drawing>
      </w:r>
    </w:p>
    <w:p>
      <w:pPr>
        <w:spacing w:after="160"/>
      </w:pPr>
      <w:r>
        <w:rPr>
          <w:b/>
          <w:i w:val="0"/>
          <w:color w:val="111111"/>
          <w:sz w:val="20"/>
        </w:rPr>
        <w:t>Axcell Financial Consulting</w:t>
      </w:r>
    </w:p>
    <w:p>
      <w:pPr>
        <w:spacing w:after="0"/>
      </w:pPr>
      <w:r>
        <w:rPr>
          <w:b/>
          <w:i w:val="0"/>
          <w:color w:val="111111"/>
          <w:sz w:val="40"/>
        </w:rPr>
        <w:t>E-Invoicing Integration Readiness Checklist</w:t>
      </w:r>
    </w:p>
    <w:p>
      <w:pPr>
        <w:spacing w:after="40"/>
      </w:pPr>
      <w:r>
        <w:rPr>
          <w:b/>
          <w:i w:val="0"/>
          <w:color w:val="CC1923"/>
          <w:sz w:val="24"/>
        </w:rPr>
        <w:t>Saudi Arabia · ZATCA Phase 2 (Integration) · FATOORA</w:t>
      </w:r>
    </w:p>
    <w:p>
      <w:pPr>
        <w:bidi/>
        <w:spacing w:after="160"/>
        <w:jc w:val="right"/>
      </w:pPr>
      <w:r>
        <w:rPr>
          <w:b/>
          <w:i w:val="0"/>
          <w:color w:val="CC1923"/>
          <w:sz w:val="26"/>
          <w:rtl/>
        </w:rPr>
        <w:t>قائمة الجاهزية لمرحلة الربط والتكامل في الفوترة الإلكترونية (فاتورة)</w:t>
      </w:r>
    </w:p>
    <w:p>
      <w:pPr>
        <w:spacing w:after="40"/>
      </w:pPr>
      <w:r>
        <w:rPr>
          <w:b w:val="0"/>
          <w:i w:val="0"/>
          <w:sz w:val="20"/>
        </w:rPr>
        <w:t>Use this 15-minute checklist to see whether your business is ready to connect its invoicing systems to ZATCA's FATOORA platform, whichever integration wave you are in. Tick each item only when you have evidence (a screenshot, a test result, a named owner).</w:t>
      </w:r>
    </w:p>
    <w:p>
      <w:pPr>
        <w:bidi/>
        <w:spacing w:after="160"/>
        <w:jc w:val="right"/>
      </w:pPr>
      <w:r>
        <w:rPr>
          <w:b w:val="0"/>
          <w:i w:val="0"/>
          <w:sz w:val="20"/>
          <w:rtl/>
        </w:rPr>
        <w:t>استخدم هذه القائمة لمعرفة مدى جاهزية منشأتك لربط أنظمة الفوترة بمنصة فاتورة لدى هيئة الزكاة والضريبة والجمارك، أياً كانت الموجة التي تنتمي إليها. ضع علامة على البند فقط عندما يكون لديك دليل.</w:t>
      </w:r>
    </w:p>
    <w:tbl>
      <w:tblPr>
        <w:tblW w:type="auto" w:w="0"/>
        <w:jc w:val="center"/>
        <w:tblBorders>
          <w:top w:val="single" w:sz="4" w:color="CC1923"/>
          <w:left w:val="single" w:sz="4" w:color="CC1923"/>
          <w:bottom w:val="single" w:sz="4" w:color="CC1923"/>
          <w:right w:val="single" w:sz="4" w:color="CC1923"/>
          <w:insideH w:val="single" w:sz="4" w:color="CC1923"/>
          <w:insideV w:val="single" w:sz="4" w:color="CC1923"/>
        </w:tblBorders>
        <w:tblLook w:firstColumn="1" w:firstRow="1" w:lastColumn="0" w:lastRow="0" w:noHBand="0" w:noVBand="1" w:val="04A0"/>
      </w:tblPr>
      <w:tblGrid>
        <w:gridCol w:w="9866"/>
      </w:tblGrid>
      <w:tr>
        <w:tc>
          <w:tcPr>
            <w:tcW w:type="dxa" w:w="9865"/>
            <w:shd w:val="clear" w:color="auto" w:fill="FBEAEB"/>
          </w:tcPr>
          <w:p>
            <w:r>
              <w:rPr>
                <w:b/>
                <w:color w:val="CC1923"/>
                <w:sz w:val="22"/>
              </w:rPr>
              <w:t>Your deadline is the date in ZATCA's notification to you</w:t>
            </w:r>
          </w:p>
          <w:p>
            <w:pPr>
              <w:pStyle w:val="ListBullet"/>
              <w:spacing w:after="40"/>
            </w:pPr>
            <w:r>
              <w:rPr>
                <w:sz w:val="19"/>
              </w:rPr>
              <w:t>Phase 1 (Generation) has applied since 4 December 2021: invoices must come from a compliant e-invoicing solution, not handwriting, Word or Excel.</w:t>
            </w:r>
          </w:p>
          <w:p>
            <w:pPr>
              <w:pStyle w:val="ListBullet"/>
              <w:spacing w:after="40"/>
            </w:pPr>
            <w:r>
              <w:rPr>
                <w:sz w:val="19"/>
              </w:rPr>
              <w:t>Phase 2 (Integration) started on 1 January 2023 and is rolled out in waves by VAT-taxable revenue. ZATCA notifies each wave at least six months before its integration date.</w:t>
            </w:r>
          </w:p>
          <w:p>
            <w:pPr>
              <w:pStyle w:val="ListBullet"/>
              <w:spacing w:after="40"/>
            </w:pPr>
            <w:r>
              <w:rPr>
                <w:sz w:val="19"/>
              </w:rPr>
              <w:t>Wave 24 (VAT-taxable revenue above SAR 375,000 in 2022, 2023 or 2024) had to integrate by 30 June 2026. That date has passed.</w:t>
            </w:r>
          </w:p>
          <w:p>
            <w:pPr>
              <w:pStyle w:val="ListBullet"/>
              <w:spacing w:after="40"/>
            </w:pPr>
            <w:r>
              <w:rPr>
                <w:sz w:val="19"/>
              </w:rPr>
              <w:t>Wave 25 (announced 24 July 2026: VAT-taxable revenue above SAR 187,500 in 2022, 2023, 2024 or 2025) must integrate by 1 February 2027.</w:t>
            </w:r>
          </w:p>
          <w:p>
            <w:pPr>
              <w:pStyle w:val="ListBullet"/>
              <w:spacing w:after="40"/>
            </w:pPr>
            <w:r>
              <w:rPr>
                <w:sz w:val="19"/>
              </w:rPr>
              <w:t>Action: check the ZATCA portal and the email/SMS ZATCA sent you to confirm your wave and date. If you were not notified, confirm with ZATCA before assuming you are out of scope.</w:t>
            </w:r>
          </w:p>
          <w:p>
            <w:pPr>
              <w:bidi/>
              <w:jc w:val="right"/>
            </w:pPr>
            <w:r>
              <w:rPr>
                <w:b/>
                <w:sz w:val="19"/>
                <w:rtl/>
              </w:rPr>
              <w:t>تاريخك الملزم هو التاريخ الوارد في إشعار الهيئة لك. تحقّق من بوابة الهيئة ومن الإشعار المرسل إليك لمعرفة موجتك وموعد الربط.</w:t>
            </w:r>
          </w:p>
          <w:p>
            <w:r>
              <w:rPr>
                <w:i/>
                <w:color w:val="666666"/>
                <w:sz w:val="16"/>
              </w:rPr>
              <w:t>Sources: ZATCA news releases of 26 September 2025 (Wave 24) and 24 July 2026 (Wave 25), zatca.gov.sa; checked 4 November 2026.</w:t>
            </w:r>
          </w:p>
        </w:tc>
      </w:tr>
    </w:tbl>
    <w:p>
      <w:pPr>
        <w:pStyle w:val="Heading2"/>
      </w:pPr>
      <w:r>
        <w:t>1. Scope and deadline   /   1. النطاق والموعد</w:t>
      </w:r>
    </w:p>
    <w:tbl>
      <w:tblPr>
        <w:tblW w:type="auto" w:w="0"/>
        <w:jc w:val="center"/>
        <w:tblBorders>
          <w:top w:val="single" w:sz="4" w:color="BFBFBF"/>
          <w:left w:val="single" w:sz="4" w:color="BFBFBF"/>
          <w:bottom w:val="single" w:sz="4" w:color="BFBFBF"/>
          <w:right w:val="single" w:sz="4" w:color="BFBFBF"/>
          <w:insideH w:val="single" w:sz="4" w:color="BFBFBF"/>
          <w:insideV w:val="single" w:sz="4" w:color="BFBFBF"/>
        </w:tblBorders>
        <w:tblLayout w:type="fixed"/>
        <w:tblLook w:firstColumn="1" w:firstRow="1" w:lastColumn="0" w:lastRow="0" w:noHBand="0" w:noVBand="1" w:val="04A0"/>
      </w:tblPr>
      <w:tblGrid>
        <w:gridCol w:w="737"/>
        <w:gridCol w:w="4649"/>
        <w:gridCol w:w="4479"/>
      </w:tblGrid>
      <w:tr>
        <w:trPr>
          <w:tblHeader/>
        </w:trPr>
        <w:tc>
          <w:tcPr>
            <w:tcW w:type="dxa" w:w="737"/>
            <w:shd w:val="clear" w:color="auto" w:fill="111111"/>
          </w:tcPr>
          <w:p>
            <w:pPr>
              <w:jc w:val="center"/>
            </w:pPr>
            <w:r>
              <w:rPr>
                <w:b/>
                <w:color w:val="FFFFFF"/>
                <w:sz w:val="19"/>
              </w:rPr>
              <w:t>Done</w:t>
            </w:r>
          </w:p>
        </w:tc>
        <w:tc>
          <w:tcPr>
            <w:tcW w:type="dxa" w:w="4649"/>
            <w:shd w:val="clear" w:color="auto" w:fill="111111"/>
          </w:tcPr>
          <w:p>
            <w:r>
              <w:rPr>
                <w:b/>
                <w:color w:val="FFFFFF"/>
                <w:sz w:val="19"/>
              </w:rPr>
              <w:t>Item (English)</w:t>
            </w:r>
          </w:p>
        </w:tc>
        <w:tc>
          <w:tcPr>
            <w:tcW w:type="dxa" w:w="4479"/>
            <w:shd w:val="clear" w:color="auto" w:fill="111111"/>
          </w:tcPr>
          <w:p>
            <w:pPr>
              <w:bidi/>
              <w:jc w:val="right"/>
            </w:pPr>
            <w:r>
              <w:rPr>
                <w:b/>
                <w:color w:val="FFFFFF"/>
                <w:sz w:val="19"/>
                <w:rtl/>
              </w:rPr>
              <w:t>البند (عربي)</w:t>
            </w:r>
          </w:p>
        </w:tc>
      </w:tr>
      <w:tr>
        <w:trPr>
          <w:cantSplit/>
        </w:trPr>
        <w:tc>
          <w:tcPr>
            <w:tcW w:type="dxa" w:w="737"/>
          </w:tcPr>
          <w:p>
            <w:pPr>
              <w:jc w:val="center"/>
            </w:pPr>
            <w:r>
              <w:rPr>
                <w:sz w:val="26"/>
              </w:rPr>
              <w:t>☐</w:t>
            </w:r>
          </w:p>
        </w:tc>
        <w:tc>
          <w:tcPr>
            <w:tcW w:type="dxa" w:w="4649"/>
          </w:tcPr>
          <w:p>
            <w:pPr>
              <w:spacing w:after="40"/>
            </w:pPr>
            <w:r>
              <w:rPr>
                <w:sz w:val="19"/>
              </w:rPr>
              <w:t>VAT registration is active and the 15-digit VAT number is correct on every invoice.</w:t>
            </w:r>
          </w:p>
        </w:tc>
        <w:tc>
          <w:tcPr>
            <w:tcW w:type="dxa" w:w="4479"/>
          </w:tcPr>
          <w:p>
            <w:pPr>
              <w:bidi/>
              <w:spacing w:after="40"/>
              <w:jc w:val="right"/>
            </w:pPr>
            <w:r>
              <w:rPr>
                <w:sz w:val="19"/>
                <w:rtl/>
              </w:rPr>
              <w:t>التسجيل في ضريبة القيمة المضافة ساري، والرقم الضريبي المكوّن من 15 رقماً صحيح في كل فاتورة.</w:t>
            </w:r>
          </w:p>
        </w:tc>
      </w:tr>
      <w:tr>
        <w:trPr>
          <w:cantSplit/>
        </w:trPr>
        <w:tc>
          <w:tcPr>
            <w:tcW w:type="dxa" w:w="737"/>
          </w:tcPr>
          <w:p>
            <w:pPr>
              <w:jc w:val="center"/>
            </w:pPr>
            <w:r>
              <w:rPr>
                <w:sz w:val="26"/>
              </w:rPr>
              <w:t>☐</w:t>
            </w:r>
          </w:p>
        </w:tc>
        <w:tc>
          <w:tcPr>
            <w:tcW w:type="dxa" w:w="4649"/>
          </w:tcPr>
          <w:p>
            <w:pPr>
              <w:spacing w:after="40"/>
            </w:pPr>
            <w:r>
              <w:rPr>
                <w:sz w:val="19"/>
              </w:rPr>
              <w:t>We have found ZATCA's integration notification and written our integration date in the project plan.</w:t>
            </w:r>
          </w:p>
        </w:tc>
        <w:tc>
          <w:tcPr>
            <w:tcW w:type="dxa" w:w="4479"/>
          </w:tcPr>
          <w:p>
            <w:pPr>
              <w:bidi/>
              <w:spacing w:after="40"/>
              <w:jc w:val="right"/>
            </w:pPr>
            <w:r>
              <w:rPr>
                <w:sz w:val="19"/>
                <w:rtl/>
              </w:rPr>
              <w:t>اطّلعنا على إشعار الهيئة الخاص بالربط وسجّلنا تاريخ الربط في خطة المشروع.</w:t>
            </w:r>
          </w:p>
        </w:tc>
      </w:tr>
      <w:tr>
        <w:trPr>
          <w:cantSplit/>
        </w:trPr>
        <w:tc>
          <w:tcPr>
            <w:tcW w:type="dxa" w:w="737"/>
          </w:tcPr>
          <w:p>
            <w:pPr>
              <w:jc w:val="center"/>
            </w:pPr>
            <w:r>
              <w:rPr>
                <w:sz w:val="26"/>
              </w:rPr>
              <w:t>☐</w:t>
            </w:r>
          </w:p>
        </w:tc>
        <w:tc>
          <w:tcPr>
            <w:tcW w:type="dxa" w:w="4649"/>
          </w:tcPr>
          <w:p>
            <w:pPr>
              <w:spacing w:after="40"/>
            </w:pPr>
            <w:r>
              <w:rPr>
                <w:sz w:val="19"/>
              </w:rPr>
              <w:t>We have listed every system that issues invoices or credit/debit notes (ERP, POS, billing, branches, e-commerce). All must be integrated.</w:t>
            </w:r>
          </w:p>
        </w:tc>
        <w:tc>
          <w:tcPr>
            <w:tcW w:type="dxa" w:w="4479"/>
          </w:tcPr>
          <w:p>
            <w:pPr>
              <w:bidi/>
              <w:spacing w:after="40"/>
              <w:jc w:val="right"/>
            </w:pPr>
            <w:r>
              <w:rPr>
                <w:sz w:val="19"/>
                <w:rtl/>
              </w:rPr>
              <w:t>حصرنا كل الأنظمة التي تصدر فواتير أو إشعارات دائنة/مدينة (ERP، نقاط البيع، الفوترة، الفروع، المتجر الإلكتروني)، ويجب ربطها جميعاً.</w:t>
            </w:r>
          </w:p>
        </w:tc>
      </w:tr>
      <w:tr>
        <w:trPr>
          <w:cantSplit/>
        </w:trPr>
        <w:tc>
          <w:tcPr>
            <w:tcW w:type="dxa" w:w="737"/>
          </w:tcPr>
          <w:p>
            <w:pPr>
              <w:jc w:val="center"/>
            </w:pPr>
            <w:r>
              <w:rPr>
                <w:sz w:val="26"/>
              </w:rPr>
              <w:t>☐</w:t>
            </w:r>
          </w:p>
        </w:tc>
        <w:tc>
          <w:tcPr>
            <w:tcW w:type="dxa" w:w="4649"/>
          </w:tcPr>
          <w:p>
            <w:pPr>
              <w:spacing w:after="40"/>
            </w:pPr>
            <w:r>
              <w:rPr>
                <w:sz w:val="19"/>
              </w:rPr>
              <w:t>Seller details are complete: legal name, CR (or other ID) and structured national address (building number, street, district, city, postal code).</w:t>
            </w:r>
          </w:p>
        </w:tc>
        <w:tc>
          <w:tcPr>
            <w:tcW w:type="dxa" w:w="4479"/>
          </w:tcPr>
          <w:p>
            <w:pPr>
              <w:bidi/>
              <w:spacing w:after="40"/>
              <w:jc w:val="right"/>
            </w:pPr>
            <w:r>
              <w:rPr>
                <w:sz w:val="19"/>
                <w:rtl/>
              </w:rPr>
              <w:t>بيانات البائع مكتملة: الاسم النظامي، السجل التجاري (أو معرّف آخر)، والعنوان الوطني (رقم المبنى، الشارع، الحي، المدينة، الرمز البريدي).</w:t>
            </w:r>
          </w:p>
        </w:tc>
      </w:tr>
    </w:tbl>
    <w:p>
      <w:pPr>
        <w:pStyle w:val="Heading2"/>
      </w:pPr>
      <w:r>
        <w:t>2. E-invoicing solution and onboarding   /   2. حل الفوترة الإلكترونية والتهيئة</w:t>
      </w:r>
    </w:p>
    <w:tbl>
      <w:tblPr>
        <w:tblW w:type="auto" w:w="0"/>
        <w:jc w:val="center"/>
        <w:tblBorders>
          <w:top w:val="single" w:sz="4" w:color="BFBFBF"/>
          <w:left w:val="single" w:sz="4" w:color="BFBFBF"/>
          <w:bottom w:val="single" w:sz="4" w:color="BFBFBF"/>
          <w:right w:val="single" w:sz="4" w:color="BFBFBF"/>
          <w:insideH w:val="single" w:sz="4" w:color="BFBFBF"/>
          <w:insideV w:val="single" w:sz="4" w:color="BFBFBF"/>
        </w:tblBorders>
        <w:tblLayout w:type="fixed"/>
        <w:tblLook w:firstColumn="1" w:firstRow="1" w:lastColumn="0" w:lastRow="0" w:noHBand="0" w:noVBand="1" w:val="04A0"/>
      </w:tblPr>
      <w:tblGrid>
        <w:gridCol w:w="737"/>
        <w:gridCol w:w="4649"/>
        <w:gridCol w:w="4479"/>
      </w:tblGrid>
      <w:tr>
        <w:trPr>
          <w:tblHeader/>
        </w:trPr>
        <w:tc>
          <w:tcPr>
            <w:tcW w:type="dxa" w:w="737"/>
            <w:shd w:val="clear" w:color="auto" w:fill="111111"/>
          </w:tcPr>
          <w:p>
            <w:pPr>
              <w:jc w:val="center"/>
            </w:pPr>
            <w:r>
              <w:rPr>
                <w:b/>
                <w:color w:val="FFFFFF"/>
                <w:sz w:val="19"/>
              </w:rPr>
              <w:t>Done</w:t>
            </w:r>
          </w:p>
        </w:tc>
        <w:tc>
          <w:tcPr>
            <w:tcW w:type="dxa" w:w="4649"/>
            <w:shd w:val="clear" w:color="auto" w:fill="111111"/>
          </w:tcPr>
          <w:p>
            <w:r>
              <w:rPr>
                <w:b/>
                <w:color w:val="FFFFFF"/>
                <w:sz w:val="19"/>
              </w:rPr>
              <w:t>Item (English)</w:t>
            </w:r>
          </w:p>
        </w:tc>
        <w:tc>
          <w:tcPr>
            <w:tcW w:type="dxa" w:w="4479"/>
            <w:shd w:val="clear" w:color="auto" w:fill="111111"/>
          </w:tcPr>
          <w:p>
            <w:pPr>
              <w:bidi/>
              <w:jc w:val="right"/>
            </w:pPr>
            <w:r>
              <w:rPr>
                <w:b/>
                <w:color w:val="FFFFFF"/>
                <w:sz w:val="19"/>
                <w:rtl/>
              </w:rPr>
              <w:t>البند (عربي)</w:t>
            </w:r>
          </w:p>
        </w:tc>
      </w:tr>
      <w:tr>
        <w:trPr>
          <w:cantSplit/>
        </w:trPr>
        <w:tc>
          <w:tcPr>
            <w:tcW w:type="dxa" w:w="737"/>
          </w:tcPr>
          <w:p>
            <w:pPr>
              <w:jc w:val="center"/>
            </w:pPr>
            <w:r>
              <w:rPr>
                <w:sz w:val="26"/>
              </w:rPr>
              <w:t>☐</w:t>
            </w:r>
          </w:p>
        </w:tc>
        <w:tc>
          <w:tcPr>
            <w:tcW w:type="dxa" w:w="4649"/>
          </w:tcPr>
          <w:p>
            <w:pPr>
              <w:spacing w:after="40"/>
            </w:pPr>
            <w:r>
              <w:rPr>
                <w:sz w:val="19"/>
              </w:rPr>
              <w:t>Our provider has confirmed in writing that the solution meets ZATCA Phase 2 requirements (XML format, APIs, security).</w:t>
            </w:r>
          </w:p>
        </w:tc>
        <w:tc>
          <w:tcPr>
            <w:tcW w:type="dxa" w:w="4479"/>
          </w:tcPr>
          <w:p>
            <w:pPr>
              <w:bidi/>
              <w:spacing w:after="40"/>
              <w:jc w:val="right"/>
            </w:pPr>
            <w:r>
              <w:rPr>
                <w:sz w:val="19"/>
                <w:rtl/>
              </w:rPr>
              <w:t>أكّد مزوّد الحل كتابياً أن الحل يستوفي متطلبات المرحلة الثانية (صيغة XML، واجهات الربط، الأمان).</w:t>
            </w:r>
          </w:p>
        </w:tc>
      </w:tr>
      <w:tr>
        <w:trPr>
          <w:cantSplit/>
        </w:trPr>
        <w:tc>
          <w:tcPr>
            <w:tcW w:type="dxa" w:w="737"/>
          </w:tcPr>
          <w:p>
            <w:pPr>
              <w:jc w:val="center"/>
            </w:pPr>
            <w:r>
              <w:rPr>
                <w:sz w:val="26"/>
              </w:rPr>
              <w:t>☐</w:t>
            </w:r>
          </w:p>
        </w:tc>
        <w:tc>
          <w:tcPr>
            <w:tcW w:type="dxa" w:w="4649"/>
          </w:tcPr>
          <w:p>
            <w:pPr>
              <w:spacing w:after="40"/>
            </w:pPr>
            <w:r>
              <w:rPr>
                <w:sz w:val="19"/>
              </w:rPr>
              <w:t>Each invoicing unit (EGS) is onboarded on the FATOORA portal and holds a valid cryptographic stamp identifier (CSID).</w:t>
            </w:r>
          </w:p>
        </w:tc>
        <w:tc>
          <w:tcPr>
            <w:tcW w:type="dxa" w:w="4479"/>
          </w:tcPr>
          <w:p>
            <w:pPr>
              <w:bidi/>
              <w:spacing w:after="40"/>
              <w:jc w:val="right"/>
            </w:pPr>
            <w:r>
              <w:rPr>
                <w:sz w:val="19"/>
                <w:rtl/>
              </w:rPr>
              <w:t>كل وحدة إصدار فواتير (EGS) مهيّأة على بوابة فاتورة ولديها معرّف ختم تشفيري (CSID) ساري.</w:t>
            </w:r>
          </w:p>
        </w:tc>
      </w:tr>
      <w:tr>
        <w:trPr>
          <w:cantSplit/>
        </w:trPr>
        <w:tc>
          <w:tcPr>
            <w:tcW w:type="dxa" w:w="737"/>
          </w:tcPr>
          <w:p>
            <w:pPr>
              <w:jc w:val="center"/>
            </w:pPr>
            <w:r>
              <w:rPr>
                <w:sz w:val="26"/>
              </w:rPr>
              <w:t>☐</w:t>
            </w:r>
          </w:p>
        </w:tc>
        <w:tc>
          <w:tcPr>
            <w:tcW w:type="dxa" w:w="4649"/>
          </w:tcPr>
          <w:p>
            <w:pPr>
              <w:spacing w:after="40"/>
            </w:pPr>
            <w:r>
              <w:rPr>
                <w:sz w:val="19"/>
              </w:rPr>
              <w:t>Compliance checks have been passed in ZATCA's test (simulation/sandbox) environment for every invoice type we issue.</w:t>
            </w:r>
          </w:p>
        </w:tc>
        <w:tc>
          <w:tcPr>
            <w:tcW w:type="dxa" w:w="4479"/>
          </w:tcPr>
          <w:p>
            <w:pPr>
              <w:bidi/>
              <w:spacing w:after="40"/>
              <w:jc w:val="right"/>
            </w:pPr>
            <w:r>
              <w:rPr>
                <w:sz w:val="19"/>
                <w:rtl/>
              </w:rPr>
              <w:t>اجتزنا فحوص الامتثال في بيئة الاختبار لدى الهيئة لكل أنواع الفواتير التي نصدرها.</w:t>
            </w:r>
          </w:p>
        </w:tc>
      </w:tr>
      <w:tr>
        <w:trPr>
          <w:cantSplit/>
        </w:trPr>
        <w:tc>
          <w:tcPr>
            <w:tcW w:type="dxa" w:w="737"/>
          </w:tcPr>
          <w:p>
            <w:pPr>
              <w:jc w:val="center"/>
            </w:pPr>
            <w:r>
              <w:rPr>
                <w:sz w:val="26"/>
              </w:rPr>
              <w:t>☐</w:t>
            </w:r>
          </w:p>
        </w:tc>
        <w:tc>
          <w:tcPr>
            <w:tcW w:type="dxa" w:w="4649"/>
          </w:tcPr>
          <w:p>
            <w:pPr>
              <w:spacing w:after="40"/>
            </w:pPr>
            <w:r>
              <w:rPr>
                <w:sz w:val="19"/>
              </w:rPr>
              <w:t>Tax invoices (B2B/B2G) are sent to FATOORA for clearance before they are shared with the buyer.</w:t>
            </w:r>
          </w:p>
        </w:tc>
        <w:tc>
          <w:tcPr>
            <w:tcW w:type="dxa" w:w="4479"/>
          </w:tcPr>
          <w:p>
            <w:pPr>
              <w:bidi/>
              <w:spacing w:after="40"/>
              <w:jc w:val="right"/>
            </w:pPr>
            <w:r>
              <w:rPr>
                <w:sz w:val="19"/>
                <w:rtl/>
              </w:rPr>
              <w:t>تُرسَل الفواتير الضريبية (بين المنشآت/للجهات الحكومية) إلى منصة فاتورة للاعتماد قبل مشاركتها مع المشتري.</w:t>
            </w:r>
          </w:p>
        </w:tc>
      </w:tr>
      <w:tr>
        <w:trPr>
          <w:cantSplit/>
        </w:trPr>
        <w:tc>
          <w:tcPr>
            <w:tcW w:type="dxa" w:w="737"/>
          </w:tcPr>
          <w:p>
            <w:pPr>
              <w:jc w:val="center"/>
            </w:pPr>
            <w:r>
              <w:rPr>
                <w:sz w:val="26"/>
              </w:rPr>
              <w:t>☐</w:t>
            </w:r>
          </w:p>
        </w:tc>
        <w:tc>
          <w:tcPr>
            <w:tcW w:type="dxa" w:w="4649"/>
          </w:tcPr>
          <w:p>
            <w:pPr>
              <w:spacing w:after="40"/>
            </w:pPr>
            <w:r>
              <w:rPr>
                <w:sz w:val="19"/>
              </w:rPr>
              <w:t>Simplified invoices (B2C) are reported to FATOORA within 24 hours of being issued.</w:t>
            </w:r>
          </w:p>
        </w:tc>
        <w:tc>
          <w:tcPr>
            <w:tcW w:type="dxa" w:w="4479"/>
          </w:tcPr>
          <w:p>
            <w:pPr>
              <w:bidi/>
              <w:spacing w:after="40"/>
              <w:jc w:val="right"/>
            </w:pPr>
            <w:r>
              <w:rPr>
                <w:sz w:val="19"/>
                <w:rtl/>
              </w:rPr>
              <w:t>يتم الإبلاغ عن الفواتير الضريبية المبسطة (للأفراد) لمنصة فاتورة خلال 24 ساعة من إصدارها.</w:t>
            </w:r>
          </w:p>
        </w:tc>
      </w:tr>
      <w:tr>
        <w:trPr>
          <w:cantSplit/>
        </w:trPr>
        <w:tc>
          <w:tcPr>
            <w:tcW w:type="dxa" w:w="737"/>
          </w:tcPr>
          <w:p>
            <w:pPr>
              <w:jc w:val="center"/>
            </w:pPr>
            <w:r>
              <w:rPr>
                <w:sz w:val="26"/>
              </w:rPr>
              <w:t>☐</w:t>
            </w:r>
          </w:p>
        </w:tc>
        <w:tc>
          <w:tcPr>
            <w:tcW w:type="dxa" w:w="4649"/>
          </w:tcPr>
          <w:p>
            <w:pPr>
              <w:spacing w:after="40"/>
            </w:pPr>
            <w:r>
              <w:rPr>
                <w:sz w:val="19"/>
              </w:rPr>
              <w:t>Invoices go to customers as XML or PDF/A-3 with embedded XML; printed simplified invoices are available at the point of sale.</w:t>
            </w:r>
          </w:p>
        </w:tc>
        <w:tc>
          <w:tcPr>
            <w:tcW w:type="dxa" w:w="4479"/>
          </w:tcPr>
          <w:p>
            <w:pPr>
              <w:bidi/>
              <w:spacing w:after="40"/>
              <w:jc w:val="right"/>
            </w:pPr>
            <w:r>
              <w:rPr>
                <w:sz w:val="19"/>
                <w:rtl/>
              </w:rPr>
              <w:t>تُشارك الفواتير مع العملاء بصيغة XML أو PDF/A-3 مع ملف XML مضمّن، وتتوفر نسخة مطبوعة من الفاتورة المبسطة عند البيع.</w:t>
            </w:r>
          </w:p>
        </w:tc>
      </w:tr>
    </w:tbl>
    <w:p>
      <w:pPr>
        <w:pStyle w:val="Heading2"/>
      </w:pPr>
      <w:r>
        <w:t>3. Invoice content   /   3. محتوى الفاتورة</w:t>
      </w:r>
    </w:p>
    <w:tbl>
      <w:tblPr>
        <w:tblW w:type="auto" w:w="0"/>
        <w:jc w:val="center"/>
        <w:tblBorders>
          <w:top w:val="single" w:sz="4" w:color="BFBFBF"/>
          <w:left w:val="single" w:sz="4" w:color="BFBFBF"/>
          <w:bottom w:val="single" w:sz="4" w:color="BFBFBF"/>
          <w:right w:val="single" w:sz="4" w:color="BFBFBF"/>
          <w:insideH w:val="single" w:sz="4" w:color="BFBFBF"/>
          <w:insideV w:val="single" w:sz="4" w:color="BFBFBF"/>
        </w:tblBorders>
        <w:tblLayout w:type="fixed"/>
        <w:tblLook w:firstColumn="1" w:firstRow="1" w:lastColumn="0" w:lastRow="0" w:noHBand="0" w:noVBand="1" w:val="04A0"/>
      </w:tblPr>
      <w:tblGrid>
        <w:gridCol w:w="737"/>
        <w:gridCol w:w="4649"/>
        <w:gridCol w:w="4479"/>
      </w:tblGrid>
      <w:tr>
        <w:trPr>
          <w:tblHeader/>
        </w:trPr>
        <w:tc>
          <w:tcPr>
            <w:tcW w:type="dxa" w:w="737"/>
            <w:shd w:val="clear" w:color="auto" w:fill="111111"/>
          </w:tcPr>
          <w:p>
            <w:pPr>
              <w:jc w:val="center"/>
            </w:pPr>
            <w:r>
              <w:rPr>
                <w:b/>
                <w:color w:val="FFFFFF"/>
                <w:sz w:val="19"/>
              </w:rPr>
              <w:t>Done</w:t>
            </w:r>
          </w:p>
        </w:tc>
        <w:tc>
          <w:tcPr>
            <w:tcW w:type="dxa" w:w="4649"/>
            <w:shd w:val="clear" w:color="auto" w:fill="111111"/>
          </w:tcPr>
          <w:p>
            <w:r>
              <w:rPr>
                <w:b/>
                <w:color w:val="FFFFFF"/>
                <w:sz w:val="19"/>
              </w:rPr>
              <w:t>Item (English)</w:t>
            </w:r>
          </w:p>
        </w:tc>
        <w:tc>
          <w:tcPr>
            <w:tcW w:type="dxa" w:w="4479"/>
            <w:shd w:val="clear" w:color="auto" w:fill="111111"/>
          </w:tcPr>
          <w:p>
            <w:pPr>
              <w:bidi/>
              <w:jc w:val="right"/>
            </w:pPr>
            <w:r>
              <w:rPr>
                <w:b/>
                <w:color w:val="FFFFFF"/>
                <w:sz w:val="19"/>
                <w:rtl/>
              </w:rPr>
              <w:t>البند (عربي)</w:t>
            </w:r>
          </w:p>
        </w:tc>
      </w:tr>
      <w:tr>
        <w:trPr>
          <w:cantSplit/>
        </w:trPr>
        <w:tc>
          <w:tcPr>
            <w:tcW w:type="dxa" w:w="737"/>
          </w:tcPr>
          <w:p>
            <w:pPr>
              <w:jc w:val="center"/>
            </w:pPr>
            <w:r>
              <w:rPr>
                <w:sz w:val="26"/>
              </w:rPr>
              <w:t>☐</w:t>
            </w:r>
          </w:p>
        </w:tc>
        <w:tc>
          <w:tcPr>
            <w:tcW w:type="dxa" w:w="4649"/>
          </w:tcPr>
          <w:p>
            <w:pPr>
              <w:spacing w:after="40"/>
            </w:pPr>
            <w:r>
              <w:rPr>
                <w:sz w:val="19"/>
              </w:rPr>
              <w:t>Every e-invoice and note carries a QR code generated by the solution (TLV-encoded, Base64).</w:t>
            </w:r>
          </w:p>
        </w:tc>
        <w:tc>
          <w:tcPr>
            <w:tcW w:type="dxa" w:w="4479"/>
          </w:tcPr>
          <w:p>
            <w:pPr>
              <w:bidi/>
              <w:spacing w:after="40"/>
              <w:jc w:val="right"/>
            </w:pPr>
            <w:r>
              <w:rPr>
                <w:sz w:val="19"/>
                <w:rtl/>
              </w:rPr>
              <w:t>كل فاتورة وإشعار إلكتروني يحمل رمز QR يولّده الحل (بترميز TLV وBase64).</w:t>
            </w:r>
          </w:p>
        </w:tc>
      </w:tr>
      <w:tr>
        <w:trPr>
          <w:cantSplit/>
        </w:trPr>
        <w:tc>
          <w:tcPr>
            <w:tcW w:type="dxa" w:w="737"/>
          </w:tcPr>
          <w:p>
            <w:pPr>
              <w:jc w:val="center"/>
            </w:pPr>
            <w:r>
              <w:rPr>
                <w:sz w:val="26"/>
              </w:rPr>
              <w:t>☐</w:t>
            </w:r>
          </w:p>
        </w:tc>
        <w:tc>
          <w:tcPr>
            <w:tcW w:type="dxa" w:w="4649"/>
          </w:tcPr>
          <w:p>
            <w:pPr>
              <w:spacing w:after="40"/>
            </w:pPr>
            <w:r>
              <w:rPr>
                <w:sz w:val="19"/>
              </w:rPr>
              <w:t>A unique identifier (UUID) is generated for every invoice and note.</w:t>
            </w:r>
          </w:p>
        </w:tc>
        <w:tc>
          <w:tcPr>
            <w:tcW w:type="dxa" w:w="4479"/>
          </w:tcPr>
          <w:p>
            <w:pPr>
              <w:bidi/>
              <w:spacing w:after="40"/>
              <w:jc w:val="right"/>
            </w:pPr>
            <w:r>
              <w:rPr>
                <w:sz w:val="19"/>
                <w:rtl/>
              </w:rPr>
              <w:t>يُنشأ معرّف فريد (UUID) لكل فاتورة وإشعار.</w:t>
            </w:r>
          </w:p>
        </w:tc>
      </w:tr>
      <w:tr>
        <w:trPr>
          <w:cantSplit/>
        </w:trPr>
        <w:tc>
          <w:tcPr>
            <w:tcW w:type="dxa" w:w="737"/>
          </w:tcPr>
          <w:p>
            <w:pPr>
              <w:jc w:val="center"/>
            </w:pPr>
            <w:r>
              <w:rPr>
                <w:sz w:val="26"/>
              </w:rPr>
              <w:t>☐</w:t>
            </w:r>
          </w:p>
        </w:tc>
        <w:tc>
          <w:tcPr>
            <w:tcW w:type="dxa" w:w="4649"/>
          </w:tcPr>
          <w:p>
            <w:pPr>
              <w:spacing w:after="40"/>
            </w:pPr>
            <w:r>
              <w:rPr>
                <w:sz w:val="19"/>
              </w:rPr>
              <w:t>Each invoice includes the hash of the previous invoice (PIH), so the chain cannot be broken.</w:t>
            </w:r>
          </w:p>
        </w:tc>
        <w:tc>
          <w:tcPr>
            <w:tcW w:type="dxa" w:w="4479"/>
          </w:tcPr>
          <w:p>
            <w:pPr>
              <w:bidi/>
              <w:spacing w:after="40"/>
              <w:jc w:val="right"/>
            </w:pPr>
            <w:r>
              <w:rPr>
                <w:sz w:val="19"/>
                <w:rtl/>
              </w:rPr>
              <w:t>تتضمّن كل فاتورة قيمة التجزئة للفاتورة السابقة (PIH) لحماية تسلسل الفواتير.</w:t>
            </w:r>
          </w:p>
        </w:tc>
      </w:tr>
      <w:tr>
        <w:trPr>
          <w:cantSplit/>
        </w:trPr>
        <w:tc>
          <w:tcPr>
            <w:tcW w:type="dxa" w:w="737"/>
          </w:tcPr>
          <w:p>
            <w:pPr>
              <w:jc w:val="center"/>
            </w:pPr>
            <w:r>
              <w:rPr>
                <w:sz w:val="26"/>
              </w:rPr>
              <w:t>☐</w:t>
            </w:r>
          </w:p>
        </w:tc>
        <w:tc>
          <w:tcPr>
            <w:tcW w:type="dxa" w:w="4649"/>
          </w:tcPr>
          <w:p>
            <w:pPr>
              <w:spacing w:after="40"/>
            </w:pPr>
            <w:r>
              <w:rPr>
                <w:sz w:val="19"/>
              </w:rPr>
              <w:t>The invoice counter (ICV) increases by one for every document and cannot be reset.</w:t>
            </w:r>
          </w:p>
        </w:tc>
        <w:tc>
          <w:tcPr>
            <w:tcW w:type="dxa" w:w="4479"/>
          </w:tcPr>
          <w:p>
            <w:pPr>
              <w:bidi/>
              <w:spacing w:after="40"/>
              <w:jc w:val="right"/>
            </w:pPr>
            <w:r>
              <w:rPr>
                <w:sz w:val="19"/>
                <w:rtl/>
              </w:rPr>
              <w:t>عدّاد الفواتير (ICV) يزداد بمقدار واحد لكل مستند ولا يمكن إعادة ضبطه.</w:t>
            </w:r>
          </w:p>
        </w:tc>
      </w:tr>
      <w:tr>
        <w:trPr>
          <w:cantSplit/>
        </w:trPr>
        <w:tc>
          <w:tcPr>
            <w:tcW w:type="dxa" w:w="737"/>
          </w:tcPr>
          <w:p>
            <w:pPr>
              <w:jc w:val="center"/>
            </w:pPr>
            <w:r>
              <w:rPr>
                <w:sz w:val="26"/>
              </w:rPr>
              <w:t>☐</w:t>
            </w:r>
          </w:p>
        </w:tc>
        <w:tc>
          <w:tcPr>
            <w:tcW w:type="dxa" w:w="4649"/>
          </w:tcPr>
          <w:p>
            <w:pPr>
              <w:spacing w:after="40"/>
            </w:pPr>
            <w:r>
              <w:rPr>
                <w:sz w:val="19"/>
              </w:rPr>
              <w:t>Tax invoices show buyer name and address, and the buyer's VAT number when the buyer is VAT-registered.</w:t>
            </w:r>
          </w:p>
        </w:tc>
        <w:tc>
          <w:tcPr>
            <w:tcW w:type="dxa" w:w="4479"/>
          </w:tcPr>
          <w:p>
            <w:pPr>
              <w:bidi/>
              <w:spacing w:after="40"/>
              <w:jc w:val="right"/>
            </w:pPr>
            <w:r>
              <w:rPr>
                <w:sz w:val="19"/>
                <w:rtl/>
              </w:rPr>
              <w:t>تتضمّن الفواتير الضريبية اسم المشتري وعنوانه، ورقمه الضريبي إذا كان مسجلاً في الضريبة.</w:t>
            </w:r>
          </w:p>
        </w:tc>
      </w:tr>
      <w:tr>
        <w:trPr>
          <w:cantSplit/>
        </w:trPr>
        <w:tc>
          <w:tcPr>
            <w:tcW w:type="dxa" w:w="737"/>
          </w:tcPr>
          <w:p>
            <w:pPr>
              <w:jc w:val="center"/>
            </w:pPr>
            <w:r>
              <w:rPr>
                <w:sz w:val="26"/>
              </w:rPr>
              <w:t>☐</w:t>
            </w:r>
          </w:p>
        </w:tc>
        <w:tc>
          <w:tcPr>
            <w:tcW w:type="dxa" w:w="4649"/>
          </w:tcPr>
          <w:p>
            <w:pPr>
              <w:spacing w:after="40"/>
            </w:pPr>
            <w:r>
              <w:rPr>
                <w:sz w:val="19"/>
              </w:rPr>
              <w:t>Simplified invoices are used for business buyers only when the supply is below SAR 1,000; content is in Arabic (another language may be added).</w:t>
            </w:r>
          </w:p>
        </w:tc>
        <w:tc>
          <w:tcPr>
            <w:tcW w:type="dxa" w:w="4479"/>
          </w:tcPr>
          <w:p>
            <w:pPr>
              <w:bidi/>
              <w:spacing w:after="40"/>
              <w:jc w:val="right"/>
            </w:pPr>
            <w:r>
              <w:rPr>
                <w:sz w:val="19"/>
                <w:rtl/>
              </w:rPr>
              <w:t>لا تُستخدم الفاتورة المبسطة للمنشآت إلا إذا كانت قيمة التوريد أقل من 1,000 ريال، ويكون محتوى الفاتورة باللغة العربية (ويجوز إضافة لغة أخرى).</w:t>
            </w:r>
          </w:p>
        </w:tc>
      </w:tr>
    </w:tbl>
    <w:p>
      <w:pPr>
        <w:pStyle w:val="Heading2"/>
      </w:pPr>
      <w:r>
        <w:t>4. Process and people   /   4. الإجراءات والأشخاص</w:t>
      </w:r>
    </w:p>
    <w:tbl>
      <w:tblPr>
        <w:tblW w:type="auto" w:w="0"/>
        <w:jc w:val="center"/>
        <w:tblBorders>
          <w:top w:val="single" w:sz="4" w:color="BFBFBF"/>
          <w:left w:val="single" w:sz="4" w:color="BFBFBF"/>
          <w:bottom w:val="single" w:sz="4" w:color="BFBFBF"/>
          <w:right w:val="single" w:sz="4" w:color="BFBFBF"/>
          <w:insideH w:val="single" w:sz="4" w:color="BFBFBF"/>
          <w:insideV w:val="single" w:sz="4" w:color="BFBFBF"/>
        </w:tblBorders>
        <w:tblLayout w:type="fixed"/>
        <w:tblLook w:firstColumn="1" w:firstRow="1" w:lastColumn="0" w:lastRow="0" w:noHBand="0" w:noVBand="1" w:val="04A0"/>
      </w:tblPr>
      <w:tblGrid>
        <w:gridCol w:w="737"/>
        <w:gridCol w:w="4649"/>
        <w:gridCol w:w="4479"/>
      </w:tblGrid>
      <w:tr>
        <w:trPr>
          <w:tblHeader/>
        </w:trPr>
        <w:tc>
          <w:tcPr>
            <w:tcW w:type="dxa" w:w="737"/>
            <w:shd w:val="clear" w:color="auto" w:fill="111111"/>
          </w:tcPr>
          <w:p>
            <w:pPr>
              <w:jc w:val="center"/>
            </w:pPr>
            <w:r>
              <w:rPr>
                <w:b/>
                <w:color w:val="FFFFFF"/>
                <w:sz w:val="19"/>
              </w:rPr>
              <w:t>Done</w:t>
            </w:r>
          </w:p>
        </w:tc>
        <w:tc>
          <w:tcPr>
            <w:tcW w:type="dxa" w:w="4649"/>
            <w:shd w:val="clear" w:color="auto" w:fill="111111"/>
          </w:tcPr>
          <w:p>
            <w:r>
              <w:rPr>
                <w:b/>
                <w:color w:val="FFFFFF"/>
                <w:sz w:val="19"/>
              </w:rPr>
              <w:t>Item (English)</w:t>
            </w:r>
          </w:p>
        </w:tc>
        <w:tc>
          <w:tcPr>
            <w:tcW w:type="dxa" w:w="4479"/>
            <w:shd w:val="clear" w:color="auto" w:fill="111111"/>
          </w:tcPr>
          <w:p>
            <w:pPr>
              <w:bidi/>
              <w:jc w:val="right"/>
            </w:pPr>
            <w:r>
              <w:rPr>
                <w:b/>
                <w:color w:val="FFFFFF"/>
                <w:sz w:val="19"/>
                <w:rtl/>
              </w:rPr>
              <w:t>البند (عربي)</w:t>
            </w:r>
          </w:p>
        </w:tc>
      </w:tr>
      <w:tr>
        <w:trPr>
          <w:cantSplit/>
        </w:trPr>
        <w:tc>
          <w:tcPr>
            <w:tcW w:type="dxa" w:w="737"/>
          </w:tcPr>
          <w:p>
            <w:pPr>
              <w:jc w:val="center"/>
            </w:pPr>
            <w:r>
              <w:rPr>
                <w:sz w:val="26"/>
              </w:rPr>
              <w:t>☐</w:t>
            </w:r>
          </w:p>
        </w:tc>
        <w:tc>
          <w:tcPr>
            <w:tcW w:type="dxa" w:w="4649"/>
          </w:tcPr>
          <w:p>
            <w:pPr>
              <w:spacing w:after="40"/>
            </w:pPr>
            <w:r>
              <w:rPr>
                <w:sz w:val="19"/>
              </w:rPr>
              <w:t>One named person owns e-invoicing compliance and has a back-up.</w:t>
            </w:r>
          </w:p>
        </w:tc>
        <w:tc>
          <w:tcPr>
            <w:tcW w:type="dxa" w:w="4479"/>
          </w:tcPr>
          <w:p>
            <w:pPr>
              <w:bidi/>
              <w:spacing w:after="40"/>
              <w:jc w:val="right"/>
            </w:pPr>
            <w:r>
              <w:rPr>
                <w:sz w:val="19"/>
                <w:rtl/>
              </w:rPr>
              <w:t>يوجد مسؤول محدد بالاسم عن امتثال الفوترة الإلكترونية، وله بديل.</w:t>
            </w:r>
          </w:p>
        </w:tc>
      </w:tr>
      <w:tr>
        <w:trPr>
          <w:cantSplit/>
        </w:trPr>
        <w:tc>
          <w:tcPr>
            <w:tcW w:type="dxa" w:w="737"/>
          </w:tcPr>
          <w:p>
            <w:pPr>
              <w:jc w:val="center"/>
            </w:pPr>
            <w:r>
              <w:rPr>
                <w:sz w:val="26"/>
              </w:rPr>
              <w:t>☐</w:t>
            </w:r>
          </w:p>
        </w:tc>
        <w:tc>
          <w:tcPr>
            <w:tcW w:type="dxa" w:w="4649"/>
          </w:tcPr>
          <w:p>
            <w:pPr>
              <w:spacing w:after="40"/>
            </w:pPr>
            <w:r>
              <w:rPr>
                <w:sz w:val="19"/>
              </w:rPr>
              <w:t>Finance and sales staff are trained: an issued invoice is never edited or deleted; corrections are made with a credit or debit note.</w:t>
            </w:r>
          </w:p>
        </w:tc>
        <w:tc>
          <w:tcPr>
            <w:tcW w:type="dxa" w:w="4479"/>
          </w:tcPr>
          <w:p>
            <w:pPr>
              <w:bidi/>
              <w:spacing w:after="40"/>
              <w:jc w:val="right"/>
            </w:pPr>
            <w:r>
              <w:rPr>
                <w:sz w:val="19"/>
                <w:rtl/>
              </w:rPr>
              <w:t>فريقا المالية والمبيعات مدرّبان على أن الفاتورة الصادرة لا تُعدَّل ولا تُحذف، وأن التصحيح يتم بإشعار دائن أو مدين.</w:t>
            </w:r>
          </w:p>
        </w:tc>
      </w:tr>
      <w:tr>
        <w:trPr>
          <w:cantSplit/>
        </w:trPr>
        <w:tc>
          <w:tcPr>
            <w:tcW w:type="dxa" w:w="737"/>
          </w:tcPr>
          <w:p>
            <w:pPr>
              <w:jc w:val="center"/>
            </w:pPr>
            <w:r>
              <w:rPr>
                <w:sz w:val="26"/>
              </w:rPr>
              <w:t>☐</w:t>
            </w:r>
          </w:p>
        </w:tc>
        <w:tc>
          <w:tcPr>
            <w:tcW w:type="dxa" w:w="4649"/>
          </w:tcPr>
          <w:p>
            <w:pPr>
              <w:spacing w:after="40"/>
            </w:pPr>
            <w:r>
              <w:rPr>
                <w:sz w:val="19"/>
              </w:rPr>
              <w:t>There is a written routine for rejected or warning-flagged invoices: who fixes them and within what time.</w:t>
            </w:r>
          </w:p>
        </w:tc>
        <w:tc>
          <w:tcPr>
            <w:tcW w:type="dxa" w:w="4479"/>
          </w:tcPr>
          <w:p>
            <w:pPr>
              <w:bidi/>
              <w:spacing w:after="40"/>
              <w:jc w:val="right"/>
            </w:pPr>
            <w:r>
              <w:rPr>
                <w:sz w:val="19"/>
                <w:rtl/>
              </w:rPr>
              <w:t>يوجد إجراء مكتوب للتعامل مع الفواتير المرفوضة أو التي عليها ملاحظات: من يعالجها وخلال أي مدة.</w:t>
            </w:r>
          </w:p>
        </w:tc>
      </w:tr>
      <w:tr>
        <w:trPr>
          <w:cantSplit/>
        </w:trPr>
        <w:tc>
          <w:tcPr>
            <w:tcW w:type="dxa" w:w="737"/>
          </w:tcPr>
          <w:p>
            <w:pPr>
              <w:jc w:val="center"/>
            </w:pPr>
            <w:r>
              <w:rPr>
                <w:sz w:val="26"/>
              </w:rPr>
              <w:t>☐</w:t>
            </w:r>
          </w:p>
        </w:tc>
        <w:tc>
          <w:tcPr>
            <w:tcW w:type="dxa" w:w="4649"/>
          </w:tcPr>
          <w:p>
            <w:pPr>
              <w:spacing w:after="40"/>
            </w:pPr>
            <w:r>
              <w:rPr>
                <w:sz w:val="19"/>
              </w:rPr>
              <w:t>There is an outage plan, including notifying ZATCA of any incident that stops invoicing and catching up once it is fixed.</w:t>
            </w:r>
          </w:p>
        </w:tc>
        <w:tc>
          <w:tcPr>
            <w:tcW w:type="dxa" w:w="4479"/>
          </w:tcPr>
          <w:p>
            <w:pPr>
              <w:bidi/>
              <w:spacing w:after="40"/>
              <w:jc w:val="right"/>
            </w:pPr>
            <w:r>
              <w:rPr>
                <w:sz w:val="19"/>
                <w:rtl/>
              </w:rPr>
              <w:t>توجد خطة للتعطل تشمل إبلاغ الهيئة بأي عطل يوقف إصدار الفواتير، واستكمال الربط فور إصلاحه.</w:t>
            </w:r>
          </w:p>
        </w:tc>
      </w:tr>
      <w:tr>
        <w:trPr>
          <w:cantSplit/>
        </w:trPr>
        <w:tc>
          <w:tcPr>
            <w:tcW w:type="dxa" w:w="737"/>
          </w:tcPr>
          <w:p>
            <w:pPr>
              <w:jc w:val="center"/>
            </w:pPr>
            <w:r>
              <w:rPr>
                <w:sz w:val="26"/>
              </w:rPr>
              <w:t>☐</w:t>
            </w:r>
          </w:p>
        </w:tc>
        <w:tc>
          <w:tcPr>
            <w:tcW w:type="dxa" w:w="4649"/>
          </w:tcPr>
          <w:p>
            <w:pPr>
              <w:spacing w:after="40"/>
            </w:pPr>
            <w:r>
              <w:rPr>
                <w:sz w:val="19"/>
              </w:rPr>
              <w:t>Each month, sales in the books are reconciled with invoices cleared or reported on FATOORA and with the VAT return.</w:t>
            </w:r>
          </w:p>
        </w:tc>
        <w:tc>
          <w:tcPr>
            <w:tcW w:type="dxa" w:w="4479"/>
          </w:tcPr>
          <w:p>
            <w:pPr>
              <w:bidi/>
              <w:spacing w:after="40"/>
              <w:jc w:val="right"/>
            </w:pPr>
            <w:r>
              <w:rPr>
                <w:sz w:val="19"/>
                <w:rtl/>
              </w:rPr>
              <w:t>تتم شهرياً مطابقة المبيعات في الدفاتر مع الفواتير المعتمدة أو المبلغ عنها في منصة فاتورة ومع الإقرار الضريبي.</w:t>
            </w:r>
          </w:p>
        </w:tc>
      </w:tr>
    </w:tbl>
    <w:p>
      <w:pPr>
        <w:pStyle w:val="Heading2"/>
      </w:pPr>
      <w:r>
        <w:t>5. Records, security and penalties   /   5. السجلات والأمان والغرامات</w:t>
      </w:r>
    </w:p>
    <w:tbl>
      <w:tblPr>
        <w:tblW w:type="auto" w:w="0"/>
        <w:jc w:val="center"/>
        <w:tblBorders>
          <w:top w:val="single" w:sz="4" w:color="BFBFBF"/>
          <w:left w:val="single" w:sz="4" w:color="BFBFBF"/>
          <w:bottom w:val="single" w:sz="4" w:color="BFBFBF"/>
          <w:right w:val="single" w:sz="4" w:color="BFBFBF"/>
          <w:insideH w:val="single" w:sz="4" w:color="BFBFBF"/>
          <w:insideV w:val="single" w:sz="4" w:color="BFBFBF"/>
        </w:tblBorders>
        <w:tblLayout w:type="fixed"/>
        <w:tblLook w:firstColumn="1" w:firstRow="1" w:lastColumn="0" w:lastRow="0" w:noHBand="0" w:noVBand="1" w:val="04A0"/>
      </w:tblPr>
      <w:tblGrid>
        <w:gridCol w:w="737"/>
        <w:gridCol w:w="4649"/>
        <w:gridCol w:w="4479"/>
      </w:tblGrid>
      <w:tr>
        <w:trPr>
          <w:tblHeader/>
        </w:trPr>
        <w:tc>
          <w:tcPr>
            <w:tcW w:type="dxa" w:w="737"/>
            <w:shd w:val="clear" w:color="auto" w:fill="111111"/>
          </w:tcPr>
          <w:p>
            <w:pPr>
              <w:jc w:val="center"/>
            </w:pPr>
            <w:r>
              <w:rPr>
                <w:b/>
                <w:color w:val="FFFFFF"/>
                <w:sz w:val="19"/>
              </w:rPr>
              <w:t>Done</w:t>
            </w:r>
          </w:p>
        </w:tc>
        <w:tc>
          <w:tcPr>
            <w:tcW w:type="dxa" w:w="4649"/>
            <w:shd w:val="clear" w:color="auto" w:fill="111111"/>
          </w:tcPr>
          <w:p>
            <w:r>
              <w:rPr>
                <w:b/>
                <w:color w:val="FFFFFF"/>
                <w:sz w:val="19"/>
              </w:rPr>
              <w:t>Item (English)</w:t>
            </w:r>
          </w:p>
        </w:tc>
        <w:tc>
          <w:tcPr>
            <w:tcW w:type="dxa" w:w="4479"/>
            <w:shd w:val="clear" w:color="auto" w:fill="111111"/>
          </w:tcPr>
          <w:p>
            <w:pPr>
              <w:bidi/>
              <w:jc w:val="right"/>
            </w:pPr>
            <w:r>
              <w:rPr>
                <w:b/>
                <w:color w:val="FFFFFF"/>
                <w:sz w:val="19"/>
                <w:rtl/>
              </w:rPr>
              <w:t>البند (عربي)</w:t>
            </w:r>
          </w:p>
        </w:tc>
      </w:tr>
      <w:tr>
        <w:trPr>
          <w:cantSplit/>
        </w:trPr>
        <w:tc>
          <w:tcPr>
            <w:tcW w:type="dxa" w:w="737"/>
          </w:tcPr>
          <w:p>
            <w:pPr>
              <w:jc w:val="center"/>
            </w:pPr>
            <w:r>
              <w:rPr>
                <w:sz w:val="26"/>
              </w:rPr>
              <w:t>☐</w:t>
            </w:r>
          </w:p>
        </w:tc>
        <w:tc>
          <w:tcPr>
            <w:tcW w:type="dxa" w:w="4649"/>
          </w:tcPr>
          <w:p>
            <w:pPr>
              <w:spacing w:after="40"/>
            </w:pPr>
            <w:r>
              <w:rPr>
                <w:sz w:val="19"/>
              </w:rPr>
              <w:t>E-invoices and notes are archived in XML and kept for at least 6 years from the end of the tax period (longer for capital assets; 15 years for real estate).</w:t>
            </w:r>
          </w:p>
        </w:tc>
        <w:tc>
          <w:tcPr>
            <w:tcW w:type="dxa" w:w="4479"/>
          </w:tcPr>
          <w:p>
            <w:pPr>
              <w:bidi/>
              <w:spacing w:after="40"/>
              <w:jc w:val="right"/>
            </w:pPr>
            <w:r>
              <w:rPr>
                <w:sz w:val="19"/>
                <w:rtl/>
              </w:rPr>
              <w:t>تُحفظ الفواتير والإشعارات الإلكترونية بصيغة XML لمدة لا تقل عن 6 سنوات من نهاية الفترة الضريبية (مدة أطول للأصول الرأسمالية، و15 سنة للعقارات).</w:t>
            </w:r>
          </w:p>
        </w:tc>
      </w:tr>
      <w:tr>
        <w:trPr>
          <w:cantSplit/>
        </w:trPr>
        <w:tc>
          <w:tcPr>
            <w:tcW w:type="dxa" w:w="737"/>
          </w:tcPr>
          <w:p>
            <w:pPr>
              <w:jc w:val="center"/>
            </w:pPr>
            <w:r>
              <w:rPr>
                <w:sz w:val="26"/>
              </w:rPr>
              <w:t>☐</w:t>
            </w:r>
          </w:p>
        </w:tc>
        <w:tc>
          <w:tcPr>
            <w:tcW w:type="dxa" w:w="4649"/>
          </w:tcPr>
          <w:p>
            <w:pPr>
              <w:spacing w:after="40"/>
            </w:pPr>
            <w:r>
              <w:rPr>
                <w:sz w:val="19"/>
              </w:rPr>
              <w:t>Cryptographic stamp keys and CSIDs are protected and cannot be exported or copied.</w:t>
            </w:r>
          </w:p>
        </w:tc>
        <w:tc>
          <w:tcPr>
            <w:tcW w:type="dxa" w:w="4479"/>
          </w:tcPr>
          <w:p>
            <w:pPr>
              <w:bidi/>
              <w:spacing w:after="40"/>
              <w:jc w:val="right"/>
            </w:pPr>
            <w:r>
              <w:rPr>
                <w:sz w:val="19"/>
                <w:rtl/>
              </w:rPr>
              <w:t>مفاتيح الختم التشفيري ومعرّفاته محمية ولا يمكن تصديرها أو نسخها.</w:t>
            </w:r>
          </w:p>
        </w:tc>
      </w:tr>
      <w:tr>
        <w:trPr>
          <w:cantSplit/>
        </w:trPr>
        <w:tc>
          <w:tcPr>
            <w:tcW w:type="dxa" w:w="737"/>
          </w:tcPr>
          <w:p>
            <w:pPr>
              <w:jc w:val="center"/>
            </w:pPr>
            <w:r>
              <w:rPr>
                <w:sz w:val="26"/>
              </w:rPr>
              <w:t>☐</w:t>
            </w:r>
          </w:p>
        </w:tc>
        <w:tc>
          <w:tcPr>
            <w:tcW w:type="dxa" w:w="4649"/>
          </w:tcPr>
          <w:p>
            <w:pPr>
              <w:spacing w:after="40"/>
            </w:pPr>
            <w:r>
              <w:rPr>
                <w:sz w:val="19"/>
              </w:rPr>
              <w:t>System access is controlled: named users, no default passwords, no anonymous access, no manual time changes.</w:t>
            </w:r>
          </w:p>
        </w:tc>
        <w:tc>
          <w:tcPr>
            <w:tcW w:type="dxa" w:w="4479"/>
          </w:tcPr>
          <w:p>
            <w:pPr>
              <w:bidi/>
              <w:spacing w:after="40"/>
              <w:jc w:val="right"/>
            </w:pPr>
            <w:r>
              <w:rPr>
                <w:sz w:val="19"/>
                <w:rtl/>
              </w:rPr>
              <w:t>الوصول إلى النظام مضبوط: مستخدمون بأسماء محددة، لا كلمات مرور افتراضية، لا دخول مجهول، ولا تعديل يدوي للوقت.</w:t>
            </w:r>
          </w:p>
        </w:tc>
      </w:tr>
      <w:tr>
        <w:trPr>
          <w:cantSplit/>
        </w:trPr>
        <w:tc>
          <w:tcPr>
            <w:tcW w:type="dxa" w:w="737"/>
          </w:tcPr>
          <w:p>
            <w:pPr>
              <w:jc w:val="center"/>
            </w:pPr>
            <w:r>
              <w:rPr>
                <w:sz w:val="26"/>
              </w:rPr>
              <w:t>☐</w:t>
            </w:r>
          </w:p>
        </w:tc>
        <w:tc>
          <w:tcPr>
            <w:tcW w:type="dxa" w:w="4649"/>
          </w:tcPr>
          <w:p>
            <w:pPr>
              <w:spacing w:after="40"/>
            </w:pPr>
            <w:r>
              <w:rPr>
                <w:sz w:val="19"/>
              </w:rPr>
              <w:t>Management knows the penalty regime: violations start with a warning, then fines rise with each repeat (for example, up to SAR 50,000 for repeated failure to integrate).</w:t>
            </w:r>
          </w:p>
        </w:tc>
        <w:tc>
          <w:tcPr>
            <w:tcW w:type="dxa" w:w="4479"/>
          </w:tcPr>
          <w:p>
            <w:pPr>
              <w:bidi/>
              <w:spacing w:after="40"/>
              <w:jc w:val="right"/>
            </w:pPr>
            <w:r>
              <w:rPr>
                <w:sz w:val="19"/>
                <w:rtl/>
              </w:rPr>
              <w:t>الإدارة على علم بنظام المخالفات: تبدأ بتنبيه ثم تتصاعد الغرامة مع التكرار (مثلاً حتى 50,000 ريال لتكرار عدم الربط).</w:t>
            </w:r>
          </w:p>
        </w:tc>
      </w:tr>
    </w:tbl>
    <w:p>
      <w:pPr>
        <w:pStyle w:val="Heading2"/>
      </w:pPr>
      <w:r>
        <w:t>6. Go-live test   /   6. اختبار الانطلاق</w:t>
      </w:r>
    </w:p>
    <w:tbl>
      <w:tblPr>
        <w:tblW w:type="auto" w:w="0"/>
        <w:jc w:val="center"/>
        <w:tblBorders>
          <w:top w:val="single" w:sz="4" w:color="BFBFBF"/>
          <w:left w:val="single" w:sz="4" w:color="BFBFBF"/>
          <w:bottom w:val="single" w:sz="4" w:color="BFBFBF"/>
          <w:right w:val="single" w:sz="4" w:color="BFBFBF"/>
          <w:insideH w:val="single" w:sz="4" w:color="BFBFBF"/>
          <w:insideV w:val="single" w:sz="4" w:color="BFBFBF"/>
        </w:tblBorders>
        <w:tblLayout w:type="fixed"/>
        <w:tblLook w:firstColumn="1" w:firstRow="1" w:lastColumn="0" w:lastRow="0" w:noHBand="0" w:noVBand="1" w:val="04A0"/>
      </w:tblPr>
      <w:tblGrid>
        <w:gridCol w:w="737"/>
        <w:gridCol w:w="4649"/>
        <w:gridCol w:w="4479"/>
      </w:tblGrid>
      <w:tr>
        <w:trPr>
          <w:tblHeader/>
        </w:trPr>
        <w:tc>
          <w:tcPr>
            <w:tcW w:type="dxa" w:w="737"/>
            <w:shd w:val="clear" w:color="auto" w:fill="111111"/>
          </w:tcPr>
          <w:p>
            <w:pPr>
              <w:jc w:val="center"/>
            </w:pPr>
            <w:r>
              <w:rPr>
                <w:b/>
                <w:color w:val="FFFFFF"/>
                <w:sz w:val="19"/>
              </w:rPr>
              <w:t>Done</w:t>
            </w:r>
          </w:p>
        </w:tc>
        <w:tc>
          <w:tcPr>
            <w:tcW w:type="dxa" w:w="4649"/>
            <w:shd w:val="clear" w:color="auto" w:fill="111111"/>
          </w:tcPr>
          <w:p>
            <w:r>
              <w:rPr>
                <w:b/>
                <w:color w:val="FFFFFF"/>
                <w:sz w:val="19"/>
              </w:rPr>
              <w:t>Item (English)</w:t>
            </w:r>
          </w:p>
        </w:tc>
        <w:tc>
          <w:tcPr>
            <w:tcW w:type="dxa" w:w="4479"/>
            <w:shd w:val="clear" w:color="auto" w:fill="111111"/>
          </w:tcPr>
          <w:p>
            <w:pPr>
              <w:bidi/>
              <w:jc w:val="right"/>
            </w:pPr>
            <w:r>
              <w:rPr>
                <w:b/>
                <w:color w:val="FFFFFF"/>
                <w:sz w:val="19"/>
                <w:rtl/>
              </w:rPr>
              <w:t>البند (عربي)</w:t>
            </w:r>
          </w:p>
        </w:tc>
      </w:tr>
      <w:tr>
        <w:trPr>
          <w:cantSplit/>
        </w:trPr>
        <w:tc>
          <w:tcPr>
            <w:tcW w:type="dxa" w:w="737"/>
          </w:tcPr>
          <w:p>
            <w:pPr>
              <w:jc w:val="center"/>
            </w:pPr>
            <w:r>
              <w:rPr>
                <w:sz w:val="26"/>
              </w:rPr>
              <w:t>☐</w:t>
            </w:r>
          </w:p>
        </w:tc>
        <w:tc>
          <w:tcPr>
            <w:tcW w:type="dxa" w:w="4649"/>
          </w:tcPr>
          <w:p>
            <w:pPr>
              <w:spacing w:after="40"/>
            </w:pPr>
            <w:r>
              <w:rPr>
                <w:sz w:val="19"/>
              </w:rPr>
              <w:t>A test tax invoice and a test simplified invoice have been accepted by ZATCA's test environment.</w:t>
            </w:r>
          </w:p>
        </w:tc>
        <w:tc>
          <w:tcPr>
            <w:tcW w:type="dxa" w:w="4479"/>
          </w:tcPr>
          <w:p>
            <w:pPr>
              <w:bidi/>
              <w:spacing w:after="40"/>
              <w:jc w:val="right"/>
            </w:pPr>
            <w:r>
              <w:rPr>
                <w:sz w:val="19"/>
                <w:rtl/>
              </w:rPr>
              <w:t>قُبلت فاتورة ضريبية تجريبية وفاتورة مبسطة تجريبية في بيئة الاختبار لدى الهيئة.</w:t>
            </w:r>
          </w:p>
        </w:tc>
      </w:tr>
      <w:tr>
        <w:trPr>
          <w:cantSplit/>
        </w:trPr>
        <w:tc>
          <w:tcPr>
            <w:tcW w:type="dxa" w:w="737"/>
          </w:tcPr>
          <w:p>
            <w:pPr>
              <w:jc w:val="center"/>
            </w:pPr>
            <w:r>
              <w:rPr>
                <w:sz w:val="26"/>
              </w:rPr>
              <w:t>☐</w:t>
            </w:r>
          </w:p>
        </w:tc>
        <w:tc>
          <w:tcPr>
            <w:tcW w:type="dxa" w:w="4649"/>
          </w:tcPr>
          <w:p>
            <w:pPr>
              <w:spacing w:after="40"/>
            </w:pPr>
            <w:r>
              <w:rPr>
                <w:sz w:val="19"/>
              </w:rPr>
              <w:t>Five real invoices, including one credit note, have gone through end to end without errors.</w:t>
            </w:r>
          </w:p>
        </w:tc>
        <w:tc>
          <w:tcPr>
            <w:tcW w:type="dxa" w:w="4479"/>
          </w:tcPr>
          <w:p>
            <w:pPr>
              <w:bidi/>
              <w:spacing w:after="40"/>
              <w:jc w:val="right"/>
            </w:pPr>
            <w:r>
              <w:rPr>
                <w:sz w:val="19"/>
                <w:rtl/>
              </w:rPr>
              <w:t>مرّت خمس فواتير فعلية، منها إشعار دائن واحد، بكامل الدورة دون أخطاء.</w:t>
            </w:r>
          </w:p>
        </w:tc>
      </w:tr>
      <w:tr>
        <w:trPr>
          <w:cantSplit/>
        </w:trPr>
        <w:tc>
          <w:tcPr>
            <w:tcW w:type="dxa" w:w="737"/>
          </w:tcPr>
          <w:p>
            <w:pPr>
              <w:jc w:val="center"/>
            </w:pPr>
            <w:r>
              <w:rPr>
                <w:sz w:val="26"/>
              </w:rPr>
              <w:t>☐</w:t>
            </w:r>
          </w:p>
        </w:tc>
        <w:tc>
          <w:tcPr>
            <w:tcW w:type="dxa" w:w="4649"/>
          </w:tcPr>
          <w:p>
            <w:pPr>
              <w:spacing w:after="40"/>
            </w:pPr>
            <w:r>
              <w:rPr>
                <w:sz w:val="19"/>
              </w:rPr>
              <w:t>A printed simplified invoice's QR code scans and shows seller name, VAT number, date/time, total and VAT.</w:t>
            </w:r>
          </w:p>
        </w:tc>
        <w:tc>
          <w:tcPr>
            <w:tcW w:type="dxa" w:w="4479"/>
          </w:tcPr>
          <w:p>
            <w:pPr>
              <w:bidi/>
              <w:spacing w:after="40"/>
              <w:jc w:val="right"/>
            </w:pPr>
            <w:r>
              <w:rPr>
                <w:sz w:val="19"/>
                <w:rtl/>
              </w:rPr>
              <w:t>رمز QR في فاتورة مبسطة مطبوعة يُقرأ ويُظهر اسم البائع والرقم الضريبي والتاريخ والوقت والإجمالي والضريبة.</w:t>
            </w:r>
          </w:p>
        </w:tc>
      </w:tr>
      <w:tr>
        <w:trPr>
          <w:cantSplit/>
        </w:trPr>
        <w:tc>
          <w:tcPr>
            <w:tcW w:type="dxa" w:w="737"/>
          </w:tcPr>
          <w:p>
            <w:pPr>
              <w:jc w:val="center"/>
            </w:pPr>
            <w:r>
              <w:rPr>
                <w:sz w:val="26"/>
              </w:rPr>
              <w:t>☐</w:t>
            </w:r>
          </w:p>
        </w:tc>
        <w:tc>
          <w:tcPr>
            <w:tcW w:type="dxa" w:w="4649"/>
          </w:tcPr>
          <w:p>
            <w:pPr>
              <w:spacing w:after="40"/>
            </w:pPr>
            <w:r>
              <w:rPr>
                <w:sz w:val="19"/>
              </w:rPr>
              <w:t>After the first two weeks live, the rejection and warning log has no unresolved items.</w:t>
            </w:r>
          </w:p>
        </w:tc>
        <w:tc>
          <w:tcPr>
            <w:tcW w:type="dxa" w:w="4479"/>
          </w:tcPr>
          <w:p>
            <w:pPr>
              <w:bidi/>
              <w:spacing w:after="40"/>
              <w:jc w:val="right"/>
            </w:pPr>
            <w:r>
              <w:rPr>
                <w:sz w:val="19"/>
                <w:rtl/>
              </w:rPr>
              <w:t>بعد أسبوعين من التشغيل الفعلي لا توجد في سجل الرفض والملاحظات أي بنود غير معالجة.</w:t>
            </w:r>
          </w:p>
        </w:tc>
      </w:tr>
    </w:tbl>
    <w:p>
      <w:pPr>
        <w:pStyle w:val="Heading1"/>
      </w:pPr>
      <w:r>
        <w:t>Score: how ready are you?  /  التقييم</w:t>
      </w:r>
    </w:p>
    <w:p>
      <w:pPr>
        <w:spacing w:after="80"/>
      </w:pPr>
      <w:r>
        <w:rPr>
          <w:b w:val="0"/>
          <w:i w:val="0"/>
          <w:sz w:val="20"/>
        </w:rPr>
        <w:t>Count your ticks out of 29. / احسب عدد البنود المؤكّدة من أصل 29.</w:t>
      </w:r>
    </w:p>
    <w:tbl>
      <w:tblPr>
        <w:tblW w:type="auto" w:w="0"/>
        <w:jc w:val="center"/>
        <w:tblBorders>
          <w:top w:val="single" w:sz="4" w:color="BFBFBF"/>
          <w:left w:val="single" w:sz="4" w:color="BFBFBF"/>
          <w:bottom w:val="single" w:sz="4" w:color="BFBFBF"/>
          <w:right w:val="single" w:sz="4" w:color="BFBFBF"/>
          <w:insideH w:val="single" w:sz="4" w:color="BFBFBF"/>
          <w:insideV w:val="single" w:sz="4" w:color="BFBFBF"/>
        </w:tblBorders>
        <w:tblLayout w:type="fixed"/>
        <w:tblLook w:firstColumn="1" w:firstRow="1" w:lastColumn="0" w:lastRow="0" w:noHBand="0" w:noVBand="1" w:val="04A0"/>
      </w:tblPr>
      <w:tblGrid>
        <w:gridCol w:w="1360"/>
        <w:gridCol w:w="4309"/>
        <w:gridCol w:w="4195"/>
      </w:tblGrid>
      <w:tr>
        <w:tc>
          <w:tcPr>
            <w:tcW w:type="dxa" w:w="1361"/>
            <w:shd w:val="clear" w:color="auto" w:fill="111111"/>
          </w:tcPr>
          <w:p>
            <w:r>
              <w:rPr>
                <w:b/>
                <w:color w:val="FFFFFF"/>
                <w:sz w:val="19"/>
              </w:rPr>
              <w:t>Ticks</w:t>
            </w:r>
          </w:p>
        </w:tc>
        <w:tc>
          <w:tcPr>
            <w:tcW w:type="dxa" w:w="4309"/>
            <w:shd w:val="clear" w:color="auto" w:fill="111111"/>
          </w:tcPr>
          <w:p>
            <w:r>
              <w:rPr>
                <w:b/>
                <w:color w:val="FFFFFF"/>
                <w:sz w:val="19"/>
              </w:rPr>
              <w:t>What it means / what to do</w:t>
            </w:r>
          </w:p>
        </w:tc>
        <w:tc>
          <w:tcPr>
            <w:tcW w:type="dxa" w:w="4195"/>
            <w:shd w:val="clear" w:color="auto" w:fill="111111"/>
          </w:tcPr>
          <w:p>
            <w:pPr>
              <w:bidi/>
              <w:jc w:val="right"/>
            </w:pPr>
            <w:r>
              <w:rPr>
                <w:b/>
                <w:color w:val="FFFFFF"/>
                <w:sz w:val="19"/>
                <w:rtl/>
              </w:rPr>
              <w:t>المعنى / الإجراء</w:t>
            </w:r>
          </w:p>
        </w:tc>
      </w:tr>
      <w:tr>
        <w:trPr>
          <w:cantSplit/>
        </w:trPr>
        <w:tc>
          <w:tcPr>
            <w:tcW w:type="dxa" w:w="1361"/>
            <w:shd w:val="clear" w:color="auto" w:fill="E8F5E9"/>
          </w:tcPr>
          <w:p>
            <w:r>
              <w:rPr>
                <w:b/>
                <w:sz w:val="19"/>
              </w:rPr>
              <w:t>All 29</w:t>
            </w:r>
          </w:p>
        </w:tc>
        <w:tc>
          <w:tcPr>
            <w:tcW w:type="dxa" w:w="4309"/>
            <w:shd w:val="clear" w:color="auto" w:fill="E8F5E9"/>
          </w:tcPr>
          <w:p>
            <w:r>
              <w:rPr>
                <w:sz w:val="19"/>
              </w:rPr>
              <w:t>Ready. Keep the evidence file and repeat the monthly reconciliation.</w:t>
            </w:r>
          </w:p>
        </w:tc>
        <w:tc>
          <w:tcPr>
            <w:tcW w:type="dxa" w:w="4195"/>
            <w:shd w:val="clear" w:color="auto" w:fill="E8F5E9"/>
          </w:tcPr>
          <w:p>
            <w:pPr>
              <w:bidi/>
              <w:jc w:val="right"/>
            </w:pPr>
            <w:r>
              <w:rPr>
                <w:sz w:val="19"/>
                <w:rtl/>
              </w:rPr>
              <w:t>جاهز. احتفظ بملف الأدلة واستمر في المطابقة الشهرية.</w:t>
            </w:r>
          </w:p>
        </w:tc>
      </w:tr>
      <w:tr>
        <w:trPr>
          <w:cantSplit/>
        </w:trPr>
        <w:tc>
          <w:tcPr>
            <w:tcW w:type="dxa" w:w="1361"/>
            <w:shd w:val="clear" w:color="auto" w:fill="FFF8E1"/>
          </w:tcPr>
          <w:p>
            <w:r>
              <w:rPr>
                <w:b/>
                <w:sz w:val="19"/>
              </w:rPr>
              <w:t>25–28</w:t>
            </w:r>
          </w:p>
        </w:tc>
        <w:tc>
          <w:tcPr>
            <w:tcW w:type="dxa" w:w="4309"/>
            <w:shd w:val="clear" w:color="auto" w:fill="FFF8E1"/>
          </w:tcPr>
          <w:p>
            <w:r>
              <w:rPr>
                <w:sz w:val="19"/>
              </w:rPr>
              <w:t>Nearly ready. Close the gaps, then re-run the go-live test before your integration date.</w:t>
            </w:r>
          </w:p>
        </w:tc>
        <w:tc>
          <w:tcPr>
            <w:tcW w:type="dxa" w:w="4195"/>
            <w:shd w:val="clear" w:color="auto" w:fill="FFF8E1"/>
          </w:tcPr>
          <w:p>
            <w:pPr>
              <w:bidi/>
              <w:jc w:val="right"/>
            </w:pPr>
            <w:r>
              <w:rPr>
                <w:sz w:val="19"/>
                <w:rtl/>
              </w:rPr>
              <w:t>قريب من الجاهزية. أغلق الفجوات ثم أعد اختبار الانطلاق قبل موعد الربط.</w:t>
            </w:r>
          </w:p>
        </w:tc>
      </w:tr>
      <w:tr>
        <w:trPr>
          <w:cantSplit/>
        </w:trPr>
        <w:tc>
          <w:tcPr>
            <w:tcW w:type="dxa" w:w="1361"/>
            <w:shd w:val="clear" w:color="auto" w:fill="FFF3E0"/>
          </w:tcPr>
          <w:p>
            <w:r>
              <w:rPr>
                <w:b/>
                <w:sz w:val="19"/>
              </w:rPr>
              <w:t>18–24</w:t>
            </w:r>
          </w:p>
        </w:tc>
        <w:tc>
          <w:tcPr>
            <w:tcW w:type="dxa" w:w="4309"/>
            <w:shd w:val="clear" w:color="auto" w:fill="FFF3E0"/>
          </w:tcPr>
          <w:p>
            <w:r>
              <w:rPr>
                <w:sz w:val="19"/>
              </w:rPr>
              <w:t>At risk. Start with sections 2 and 3; agree a dated fix plan with your e-invoicing provider.</w:t>
            </w:r>
          </w:p>
        </w:tc>
        <w:tc>
          <w:tcPr>
            <w:tcW w:type="dxa" w:w="4195"/>
            <w:shd w:val="clear" w:color="auto" w:fill="FFF3E0"/>
          </w:tcPr>
          <w:p>
            <w:pPr>
              <w:bidi/>
              <w:jc w:val="right"/>
            </w:pPr>
            <w:r>
              <w:rPr>
                <w:sz w:val="19"/>
                <w:rtl/>
              </w:rPr>
              <w:t>في خطر. ابدأ بالقسمين 2 و3، واتفق مع مزوّد الحل على خطة معالجة بتواريخ محددة.</w:t>
            </w:r>
          </w:p>
        </w:tc>
      </w:tr>
      <w:tr>
        <w:trPr>
          <w:cantSplit/>
        </w:trPr>
        <w:tc>
          <w:tcPr>
            <w:tcW w:type="dxa" w:w="1361"/>
            <w:shd w:val="clear" w:color="auto" w:fill="FFEBEE"/>
          </w:tcPr>
          <w:p>
            <w:r>
              <w:rPr>
                <w:b/>
                <w:sz w:val="19"/>
              </w:rPr>
              <w:t>Below 18</w:t>
            </w:r>
          </w:p>
        </w:tc>
        <w:tc>
          <w:tcPr>
            <w:tcW w:type="dxa" w:w="4309"/>
            <w:shd w:val="clear" w:color="auto" w:fill="FFEBEE"/>
          </w:tcPr>
          <w:p>
            <w:r>
              <w:rPr>
                <w:sz w:val="19"/>
              </w:rPr>
              <w:t>High risk. Treat this as a project: name an owner, book provider time and set weekly check-ins until all items are ticked.</w:t>
            </w:r>
          </w:p>
        </w:tc>
        <w:tc>
          <w:tcPr>
            <w:tcW w:type="dxa" w:w="4195"/>
            <w:shd w:val="clear" w:color="auto" w:fill="FFEBEE"/>
          </w:tcPr>
          <w:p>
            <w:pPr>
              <w:bidi/>
              <w:jc w:val="right"/>
            </w:pPr>
            <w:r>
              <w:rPr>
                <w:sz w:val="19"/>
                <w:rtl/>
              </w:rPr>
              <w:t>مخاطر عالية. تعامل معها كمشروع: حدّد مسؤولاً، واحجز وقت المزوّد، وتابع أسبوعياً حتى اكتمال البنود.</w:t>
            </w:r>
          </w:p>
        </w:tc>
      </w:tr>
    </w:tbl>
    <w:p>
      <w:pPr>
        <w:pStyle w:val="Heading2"/>
      </w:pPr>
      <w:r>
        <w:t>Need help?  /  هل تحتاج مساعدة؟</w:t>
      </w:r>
    </w:p>
    <w:p>
      <w:pPr>
        <w:spacing w:after="80"/>
      </w:pPr>
      <w:r>
        <w:rPr>
          <w:b w:val="0"/>
          <w:i w:val="0"/>
          <w:sz w:val="20"/>
        </w:rPr>
        <w:t>If several items are still open and your integration date is close, book a free 30-minute consultation with Axcell Financial Consulting. We will review your gaps with you and agree the fastest practical route with your e-invoicing provider.</w:t>
      </w:r>
    </w:p>
    <w:p>
      <w:pPr>
        <w:bidi/>
        <w:spacing w:after="80"/>
        <w:jc w:val="right"/>
      </w:pPr>
      <w:r>
        <w:rPr>
          <w:b w:val="0"/>
          <w:i w:val="0"/>
          <w:sz w:val="20"/>
          <w:rtl/>
        </w:rPr>
        <w:t>إذا بقيت عدة بنود مفتوحة وموعد الربط قريب، احجز استشارة مجانية لمدة 30 دقيقة مع أكسل للاستشارات المالية لمراجعة الفجوات وتحديد أسرع طريق عملي مع مزوّد الحل.</w:t>
      </w:r>
    </w:p>
    <w:p>
      <w:pPr>
        <w:spacing w:after="80"/>
      </w:pPr>
      <w:r>
        <w:rPr>
          <w:b/>
          <w:i w:val="0"/>
          <w:color w:val="CC1923"/>
          <w:sz w:val="22"/>
        </w:rPr>
        <w:t>axcellservice.com/contact</w:t>
      </w:r>
    </w:p>
    <w:p>
      <w:pPr>
        <w:pStyle w:val="Heading2"/>
      </w:pPr>
      <w:r>
        <w:t>Sources (official, checked 4 November 2026)</w:t>
      </w:r>
    </w:p>
    <w:p>
      <w:pPr>
        <w:pStyle w:val="ListBullet"/>
        <w:spacing w:after="20"/>
      </w:pPr>
      <w:r>
        <w:rPr>
          <w:sz w:val="17"/>
        </w:rPr>
        <w:t>ZATCA news, 'Criteria set for taxpayers in Wave 24 of E-invoicing', 26 September 2025: zatca.gov.sa/en/Pages/news-1426.aspx</w:t>
      </w:r>
    </w:p>
    <w:p>
      <w:pPr>
        <w:pStyle w:val="ListBullet"/>
        <w:spacing w:after="20"/>
      </w:pPr>
      <w:r>
        <w:rPr>
          <w:sz w:val="17"/>
        </w:rPr>
        <w:t>ZATCA news, 'ZATCA Determines the Criteria for Selecting the Targeted Taxpayers in Wave 25', 24 July 2026: zatca.gov.sa/en/MediaCenter/News/Pages/Wave25-E-invoicing.aspx</w:t>
      </w:r>
    </w:p>
    <w:p>
      <w:pPr>
        <w:pStyle w:val="ListBullet"/>
        <w:spacing w:after="20"/>
      </w:pPr>
      <w:r>
        <w:rPr>
          <w:sz w:val="17"/>
        </w:rPr>
        <w:t>ZATCA, Controls, Requirements, Technical Specifications and Procedural Rules for Implementing the E-Invoicing Regulation (Decision 62738) and Annexes 1-2: clearance, 24-hour reporting, QR, UUID, hash, counter, prohibited functions, incident notification.</w:t>
      </w:r>
    </w:p>
    <w:p>
      <w:pPr>
        <w:pStyle w:val="ListBullet"/>
        <w:spacing w:after="20"/>
      </w:pPr>
      <w:r>
        <w:rPr>
          <w:sz w:val="17"/>
        </w:rPr>
        <w:t>ZATCA, E-invoicing Detailed Guideline: tax vs simplified invoices, SAR 1,000 rule for business buyers, onboarding.</w:t>
      </w:r>
    </w:p>
    <w:p>
      <w:pPr>
        <w:pStyle w:val="ListBullet"/>
        <w:spacing w:after="20"/>
      </w:pPr>
      <w:r>
        <w:rPr>
          <w:sz w:val="17"/>
        </w:rPr>
        <w:t>ZATCA, Guideline for Tax Invoicing and Records under VAT provisions (record retention, section 8.3.3).</w:t>
      </w:r>
    </w:p>
    <w:p>
      <w:pPr>
        <w:pStyle w:val="ListBullet"/>
        <w:spacing w:after="20"/>
      </w:pPr>
      <w:r>
        <w:rPr>
          <w:sz w:val="17"/>
        </w:rPr>
        <w:t>ZATCA, Simplified guide to the classification of general VAT violations (e-invoicing violations table): zatca.gov.sa/ar/E-Invoicing/Introduction/Guidelines/Documents/E-Invoice%20VAT.pdf</w:t>
      </w:r>
    </w:p>
    <w:p>
      <w:pPr>
        <w:spacing w:after="80"/>
      </w:pPr>
      <w:r>
        <w:rPr>
          <w:b w:val="0"/>
          <w:i/>
          <w:color w:val="666666"/>
          <w:sz w:val="16"/>
        </w:rPr>
        <w:t>This checklist summarises official ZATCA material for convenience and is not tax or legal advice. ZATCA's Arabic texts prevail; rules and penalties can change, so confirm current requirements on zatca.gov.sa.</w:t>
      </w:r>
    </w:p>
    <w:p>
      <w:pPr>
        <w:spacing w:after="80"/>
      </w:pPr>
      <w:r>
        <w:rPr>
          <w:b/>
          <w:i w:val="0"/>
          <w:color w:val="CC1923"/>
          <w:sz w:val="18"/>
        </w:rPr>
        <w:t>axcellservice.com · Free template · Book a free 30-minute consultation: axcellservice.com/contact</w:t>
      </w:r>
    </w:p>
    <w:sectPr w:rsidR="00FC693F" w:rsidRPr="0006063C" w:rsidSect="00034616">
      <w:headerReference w:type="default" r:id="rId9"/>
      <w:footerReference w:type="default" r:id="rId10"/>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6"/>
      </w:rPr>
      <w:t xml:space="preserve">axcellservice.com · Free template · Book a free 30-minute consultation: axcellservice.com/contact   ·   Page </w:t>
    </w:r>
    <w:r>
      <w:rPr>
        <w:color w:val="666666"/>
        <w:sz w:val="16"/>
      </w:rPr>
      <w:fldChar w:fldCharType="begin"/>
    </w:r>
    <w:r>
      <w:rPr>
        <w:color w:val="666666"/>
        <w:sz w:val="16"/>
      </w:rPr>
      <w:instrText xml:space="preserve">PAGE</w:instrText>
    </w:r>
    <w:r>
      <w:rPr>
        <w:color w:val="666666"/>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b/>
        <w:color w:val="CC1923"/>
        <w:sz w:val="18"/>
      </w:rPr>
      <w:t>Axcell Financial Consulting</w:t>
    </w:r>
    <w:r>
      <w:rPr>
        <w:color w:val="666666"/>
        <w:sz w:val="18"/>
      </w:rPr>
      <w:t xml:space="preserve">   |   axcellservice.com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cs="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Arial" w:hAnsi="Arial" w:cs="Arial"/>
      <w:b/>
      <w:bCs/>
      <w:color w:val="CC1923"/>
      <w:sz w:val="2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Arial" w:hAnsi="Arial" w:cs="Arial"/>
      <w:b/>
      <w:bCs/>
      <w:color w:val="CC192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E-Invoicing Integration Readiness Checklist</dc:title>
  <dc:subject/>
  <dc:creator>Axcell Financial Consulting</dc:creator>
  <cp:keywords/>
  <dc:description>generated by python-docx</dc:description>
  <cp:lastModifiedBy/>
  <cp:revision>1</cp:revision>
  <dcterms:created xsi:type="dcterms:W3CDTF">2013-12-23T23:15:00Z</dcterms:created>
  <dcterms:modified xsi:type="dcterms:W3CDTF">2013-12-23T23:15:00Z</dcterms:modified>
  <cp:category/>
</cp:coreProperties>
</file>