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160"/>
      </w:pPr>
      <w:r>
        <w:rPr>
          <w:rFonts w:ascii="Arial" w:hAnsi="Arial" w:cs="Arial" w:eastAsia="Arial"/>
          <w:b/>
          <w:bCs/>
          <w:color w:val="CC1923"/>
          <w:sz w:val="16"/>
          <w:szCs w:val="16"/>
        </w:rPr>
        <w:t>DECISION SCORECARD · 15 MINUTES · FOR OWNERS, CEOS AND GMS</w:t>
      </w:r>
    </w:p>
    <w:p>
      <w:pPr>
        <w:spacing w:after="40"/>
      </w:pPr>
      <w:r>
        <w:rPr>
          <w:rFonts w:ascii="Arial" w:hAnsi="Arial" w:cs="Arial" w:eastAsia="Arial"/>
          <w:b/>
          <w:bCs/>
          <w:color w:val="111111"/>
          <w:sz w:val="44"/>
          <w:szCs w:val="44"/>
        </w:rPr>
        <w:t>Do You Need a CFO? A 15-Minute Scorecard</w:t>
      </w:r>
    </w:p>
    <w:p>
      <w:pPr>
        <w:pBdr>
          <w:bottom w:val="single" w:sz="12" w:space="6" w:color="CC1923"/>
        </w:pBdr>
        <w:spacing w:after="160"/>
      </w:pPr>
      <w:r>
        <w:rPr>
          <w:rFonts w:ascii="Arial" w:hAnsi="Arial" w:cs="Arial" w:eastAsia="Arial"/>
          <w:color w:val="555555"/>
          <w:sz w:val="22"/>
          <w:szCs w:val="22"/>
        </w:rPr>
        <w:t>Answer five short steps and land on one of four answers: fix the basics, hire a finance manager, use a fractional CFO, or hire a full-time CFO.</w:t>
      </w:r>
    </w:p>
    <w:p>
      <w:pPr>
        <w:pStyle w:val="Heading2"/>
      </w:pPr>
      <w:r>
        <w:t>How to use it</w:t>
      </w:r>
    </w:p>
    <w:tbl>
      <w:tblPr>
        <w:tblW w:type="dxa" w:w="9752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680"/>
        <w:gridCol w:w="7938"/>
        <w:gridCol w:w="1134"/>
      </w:tblGrid>
      <w:tr>
        <w:trPr>
          <w:cantSplit/>
          <w:tblHeader/>
        </w:trPr>
        <w:tc>
          <w:tcPr>
            <w:tcW w:type="dxa" w:w="680"/>
            <w:shd w:val="clear" w:color="auto" w:fill="111111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Step</w:t>
            </w:r>
          </w:p>
        </w:tc>
        <w:tc>
          <w:tcPr>
            <w:tcW w:type="dxa" w:w="7937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What you do</w:t>
            </w:r>
          </w:p>
        </w:tc>
        <w:tc>
          <w:tcPr>
            <w:tcW w:type="dxa" w:w="1134"/>
            <w:shd w:val="clear" w:color="auto" w:fill="111111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Time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7937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Match your problem to the right role (most “I need a CFO” problems are not CFO problems).</w:t>
            </w:r>
          </w:p>
        </w:tc>
        <w:tc>
          <w:tcPr>
            <w:tcW w:type="dxa" w:w="113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2 min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7937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Pass the readiness gate. If any box is “No”, fix the basics first.</w:t>
            </w:r>
          </w:p>
        </w:tc>
        <w:tc>
          <w:tcPr>
            <w:tcW w:type="dxa" w:w="1134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2 min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7937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Score 10 factors from 0 to 2. Your total points to a role.</w:t>
            </w:r>
          </w:p>
        </w:tc>
        <w:tc>
          <w:tcPr>
            <w:tcW w:type="dxa" w:w="113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5 min</w:t>
            </w:r>
          </w:p>
        </w:tc>
      </w:tr>
      <w:tr>
        <w:trPr>
          <w:cantSplit/>
        </w:trPr>
        <w:tc>
          <w:tcPr>
            <w:tcW w:type="dxa" w:w="680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7937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Estimate how many days a month of CFO-level work you really have, and compare costs using your own quotes.</w:t>
            </w:r>
          </w:p>
        </w:tc>
        <w:tc>
          <w:tcPr>
            <w:tcW w:type="dxa" w:w="1134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5 min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7937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Check the result against the one-page decision tree and write down your answer.</w:t>
            </w:r>
          </w:p>
        </w:tc>
        <w:tc>
          <w:tcPr>
            <w:tcW w:type="dxa" w:w="113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1 min</w:t>
            </w:r>
          </w:p>
        </w:tc>
      </w:tr>
    </w:tbl>
    <w:p>
      <w:pPr>
        <w:spacing w:after="0" w:before="0" w:line="120" w:lineRule="exact"/>
      </w:pPr>
      <w:r>
        <w:rPr>
          <w:rFonts w:ascii="Arial" w:hAnsi="Arial" w:cs="Arial" w:eastAsia="Arial"/>
          <w:sz w:val="12"/>
          <w:szCs w:val="12"/>
        </w:rPr>
      </w:r>
    </w:p>
    <w:p>
      <w:pPr>
        <w:pStyle w:val="Heading2"/>
      </w:pPr>
      <w:r>
        <w:t>The four answers</w:t>
      </w:r>
    </w:p>
    <w:tbl>
      <w:tblPr>
        <w:tblW w:type="dxa" w:w="9752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041"/>
        <w:gridCol w:w="4195"/>
        <w:gridCol w:w="3515"/>
      </w:tblGrid>
      <w:tr>
        <w:trPr>
          <w:cantSplit/>
          <w:tblHeader/>
        </w:trPr>
        <w:tc>
          <w:tcPr>
            <w:tcW w:type="dxa" w:w="2041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Role</w:t>
            </w:r>
          </w:p>
        </w:tc>
        <w:tc>
          <w:tcPr>
            <w:tcW w:type="dxa" w:w="4195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What they do</w:t>
            </w:r>
          </w:p>
        </w:tc>
        <w:tc>
          <w:tcPr>
            <w:tcW w:type="dxa" w:w="3515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Usually right when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Fix the basics</w:t>
            </w:r>
          </w:p>
        </w:tc>
        <w:tc>
          <w:tcPr>
            <w:tcW w:type="dxa" w:w="4195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Bookkeeper or outsourced accounting, plus a monthly review with the owner.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Books are late or unreliable; one entity; few decisions that need modelling.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Finance manager / controller</w:t>
            </w:r>
          </w:p>
        </w:tc>
        <w:tc>
          <w:tcPr>
            <w:tcW w:type="dxa" w:w="4195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Runs month-end close, payables, receivables, payroll, VAT, audit prep and management accounts.</w:t>
            </w:r>
          </w:p>
        </w:tc>
        <w:tc>
          <w:tcPr>
            <w:tcW w:type="dxa" w:w="3515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Books are fine but nobody owns finance day to day; the team needs a lead.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Fractional CFO</w:t>
            </w:r>
          </w:p>
        </w:tc>
        <w:tc>
          <w:tcPr>
            <w:tcW w:type="dxa" w:w="4195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Part-time senior finance leader: forecasting, cash strategy, bank and investor relations, board reporting, decision support.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You need CFO judgment a few days a month, not full time; a finance manager or accountant handles the routine.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Full-time CFO</w:t>
            </w:r>
          </w:p>
        </w:tc>
        <w:tc>
          <w:tcPr>
            <w:tcW w:type="dxa" w:w="4195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Owns the finance function, strategy, capital and governance every day.</w:t>
            </w:r>
          </w:p>
        </w:tc>
        <w:tc>
          <w:tcPr>
            <w:tcW w:type="dxa" w:w="3515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CFO-level work fills most of the week, every week, for the foreseeable future.</w:t>
            </w:r>
          </w:p>
        </w:tc>
      </w:tr>
    </w:tbl>
    <w:p>
      <w:pPr>
        <w:spacing w:after="0" w:before="0" w:line="120" w:lineRule="exact"/>
      </w:pPr>
      <w:r>
        <w:rPr>
          <w:rFonts w:ascii="Arial" w:hAnsi="Arial" w:cs="Arial" w:eastAsia="Arial"/>
          <w:sz w:val="12"/>
          <w:szCs w:val="12"/>
        </w:rPr>
      </w:r>
    </w:p>
    <w:p>
      <w:pPr>
        <w:pStyle w:val="Heading1"/>
      </w:pPr>
      <w:r>
        <w:t>Step 1 — What problem are you actually solving?</w:t>
      </w:r>
    </w:p>
    <w:p>
      <w:pPr>
        <w:spacing w:after="80"/>
      </w:pPr>
      <w:r>
        <w:rPr>
          <w:rFonts w:ascii="Arial" w:hAnsi="Arial" w:cs="Arial" w:eastAsia="Arial"/>
          <w:i w:val="0"/>
          <w:color w:val="111111"/>
          <w:sz w:val="20"/>
          <w:szCs w:val="20"/>
        </w:rPr>
        <w:t>Tick the sentence that sounds most like you. The right-hand column is where to look first.</w:t>
      </w:r>
    </w:p>
    <w:tbl>
      <w:tblPr>
        <w:tblW w:type="dxa" w:w="9752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567"/>
        <w:gridCol w:w="3628"/>
        <w:gridCol w:w="3061"/>
        <w:gridCol w:w="2494"/>
      </w:tblGrid>
      <w:tr>
        <w:trPr>
          <w:cantSplit/>
          <w:tblHeader/>
        </w:trPr>
        <w:tc>
          <w:tcPr>
            <w:tcW w:type="dxa" w:w="567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</w:r>
          </w:p>
        </w:tc>
        <w:tc>
          <w:tcPr>
            <w:tcW w:type="dxa" w:w="3628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If you are saying…</w:t>
            </w:r>
          </w:p>
        </w:tc>
        <w:tc>
          <w:tcPr>
            <w:tcW w:type="dxa" w:w="3061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The real problem is…</w:t>
            </w:r>
          </w:p>
        </w:tc>
        <w:tc>
          <w:tcPr>
            <w:tcW w:type="dxa" w:w="2494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Look first at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  <w:tc>
          <w:tcPr>
            <w:tcW w:type="dxa" w:w="362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“My books are always late.”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Bookkeeping capacity or process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Fix the basics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  <w:tc>
          <w:tcPr>
            <w:tcW w:type="dxa" w:w="362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“I never know my real profit or cash position.”</w:t>
            </w:r>
          </w:p>
        </w:tc>
        <w:tc>
          <w:tcPr>
            <w:tcW w:type="dxa" w:w="306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Month-end close and management accounts</w:t>
            </w:r>
          </w:p>
        </w:tc>
        <w:tc>
          <w:tcPr>
            <w:tcW w:type="dxa" w:w="2494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Finance manager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  <w:tc>
          <w:tcPr>
            <w:tcW w:type="dxa" w:w="362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“I want someone to run finance day to day.”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Operational finance leadership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Finance manager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  <w:tc>
          <w:tcPr>
            <w:tcW w:type="dxa" w:w="362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“The bank, investors or board want better reporting.”</w:t>
            </w:r>
          </w:p>
        </w:tc>
        <w:tc>
          <w:tcPr>
            <w:tcW w:type="dxa" w:w="306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Strategic reporting and relationships</w:t>
            </w:r>
          </w:p>
        </w:tc>
        <w:tc>
          <w:tcPr>
            <w:tcW w:type="dxa" w:w="2494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Fractional CFO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  <w:tc>
          <w:tcPr>
            <w:tcW w:type="dxa" w:w="362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“We are raising money, buying, selling or restructuring.”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Transaction leadership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Fractional CFO (intensive) or interim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  <w:tc>
          <w:tcPr>
            <w:tcW w:type="dxa" w:w="362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“I need help with pricing, expansion and big decisions.”</w:t>
            </w:r>
          </w:p>
        </w:tc>
        <w:tc>
          <w:tcPr>
            <w:tcW w:type="dxa" w:w="306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Decision support and planning</w:t>
            </w:r>
          </w:p>
        </w:tc>
        <w:tc>
          <w:tcPr>
            <w:tcW w:type="dxa" w:w="2494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Fractional CFO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  <w:tc>
          <w:tcPr>
            <w:tcW w:type="dxa" w:w="362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“Finance decisions fill my whole week, every week.”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Permanent senior leadership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Full-time CFO</w:t>
            </w:r>
          </w:p>
        </w:tc>
      </w:tr>
    </w:tbl>
    <w:p>
      <w:pPr>
        <w:spacing w:after="0" w:before="0" w:line="120" w:lineRule="exact"/>
      </w:pPr>
      <w:r>
        <w:rPr>
          <w:rFonts w:ascii="Arial" w:hAnsi="Arial" w:cs="Arial" w:eastAsia="Arial"/>
          <w:sz w:val="12"/>
          <w:szCs w:val="12"/>
        </w:rPr>
      </w:r>
    </w:p>
    <w:p>
      <w:pPr>
        <w:pStyle w:val="Heading1"/>
      </w:pPr>
      <w:r>
        <w:t>Step 2 — Readiness gate</w:t>
      </w:r>
    </w:p>
    <w:p>
      <w:pPr>
        <w:spacing w:after="80"/>
      </w:pPr>
      <w:r>
        <w:rPr>
          <w:rFonts w:ascii="Arial" w:hAnsi="Arial" w:cs="Arial" w:eastAsia="Arial"/>
          <w:i w:val="0"/>
          <w:color w:val="111111"/>
          <w:sz w:val="20"/>
          <w:szCs w:val="20"/>
        </w:rPr>
        <w:t>A CFO needs reliable numbers to work with. Answer honestly.</w:t>
      </w:r>
    </w:p>
    <w:tbl>
      <w:tblPr>
        <w:tblW w:type="dxa" w:w="9752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7711"/>
        <w:gridCol w:w="1020"/>
        <w:gridCol w:w="1020"/>
      </w:tblGrid>
      <w:tr>
        <w:trPr>
          <w:cantSplit/>
          <w:tblHeader/>
        </w:trPr>
        <w:tc>
          <w:tcPr>
            <w:tcW w:type="dxa" w:w="7710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Question</w:t>
            </w:r>
          </w:p>
        </w:tc>
        <w:tc>
          <w:tcPr>
            <w:tcW w:type="dxa" w:w="1020"/>
            <w:shd w:val="clear" w:color="auto" w:fill="111111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Yes</w:t>
            </w:r>
          </w:p>
        </w:tc>
        <w:tc>
          <w:tcPr>
            <w:tcW w:type="dxa" w:w="1020"/>
            <w:shd w:val="clear" w:color="auto" w:fill="111111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No</w:t>
            </w:r>
          </w:p>
        </w:tc>
      </w:tr>
      <w:tr>
        <w:trPr>
          <w:cantSplit/>
        </w:trPr>
        <w:tc>
          <w:tcPr>
            <w:tcW w:type="dxa" w:w="7710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Are monthly accounts closed within about two weeks of month-end?</w:t>
            </w:r>
          </w:p>
        </w:tc>
        <w:tc>
          <w:tcPr>
            <w:tcW w:type="dxa" w:w="1020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  <w:tc>
          <w:tcPr>
            <w:tcW w:type="dxa" w:w="1020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</w:tr>
      <w:tr>
        <w:trPr>
          <w:cantSplit/>
        </w:trPr>
        <w:tc>
          <w:tcPr>
            <w:tcW w:type="dxa" w:w="7710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Do you trust your chart of accounts and the balance sheet reconciliations (bank, receivables, payables)?</w:t>
            </w:r>
          </w:p>
        </w:tc>
        <w:tc>
          <w:tcPr>
            <w:tcW w:type="dxa" w:w="1020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  <w:tc>
          <w:tcPr>
            <w:tcW w:type="dxa" w:w="1020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</w:tr>
      <w:tr>
        <w:trPr>
          <w:cantSplit/>
        </w:trPr>
        <w:tc>
          <w:tcPr>
            <w:tcW w:type="dxa" w:w="7710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Are VAT and other tax filings up to date?</w:t>
            </w:r>
          </w:p>
        </w:tc>
        <w:tc>
          <w:tcPr>
            <w:tcW w:type="dxa" w:w="1020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  <w:tc>
          <w:tcPr>
            <w:tcW w:type="dxa" w:w="1020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</w:tr>
      <w:tr>
        <w:trPr>
          <w:cantSplit/>
        </w:trPr>
        <w:tc>
          <w:tcPr>
            <w:tcW w:type="dxa" w:w="7710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Is there a person or provider who does the day-to-day bookkeeping (so the CFO does not have to)?</w:t>
            </w:r>
          </w:p>
        </w:tc>
        <w:tc>
          <w:tcPr>
            <w:tcW w:type="dxa" w:w="1020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  <w:tc>
          <w:tcPr>
            <w:tcW w:type="dxa" w:w="1020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</w:tr>
      <w:tr>
        <w:trPr>
          <w:cantSplit/>
        </w:trPr>
        <w:tc>
          <w:tcPr>
            <w:tcW w:type="dxa" w:w="7710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Will the owner give at least one hour a month to review the numbers and decide?</w:t>
            </w:r>
          </w:p>
        </w:tc>
        <w:tc>
          <w:tcPr>
            <w:tcW w:type="dxa" w:w="1020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  <w:tc>
          <w:tcPr>
            <w:tcW w:type="dxa" w:w="1020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22"/>
                <w:szCs w:val="22"/>
              </w:rPr>
              <w:t>☐</w:t>
            </w:r>
          </w:p>
        </w:tc>
      </w:tr>
    </w:tbl>
    <w:p>
      <w:pPr>
        <w:spacing w:after="0" w:before="0" w:line="120" w:lineRule="exact"/>
      </w:pPr>
      <w:r>
        <w:rPr>
          <w:rFonts w:ascii="Arial" w:hAnsi="Arial" w:cs="Arial" w:eastAsia="Arial"/>
          <w:sz w:val="12"/>
          <w:szCs w:val="12"/>
        </w:rPr>
      </w:r>
    </w:p>
    <w:tbl>
      <w:tblPr>
        <w:tblW w:type="dxa" w:w="9753"/>
        <w:jc w:val="center"/>
        <w:tblLayout w:type="fixed"/>
        <w:tblCellMar>
          <w:top w:w="100" w:type="dxa"/>
          <w:left w:w="160" w:type="dxa"/>
          <w:bottom w:w="100" w:type="dxa"/>
          <w:right w:w="140" w:type="dxa"/>
        </w:tblCellMar>
        <w:tblLook w:firstColumn="1" w:firstRow="1" w:lastColumn="0" w:lastRow="0" w:noHBand="0" w:noVBand="1" w:val="04A0"/>
      </w:tblPr>
      <w:tblGrid>
        <w:gridCol w:w="9753"/>
      </w:tblGrid>
      <w:tr>
        <w:tc>
          <w:tcPr>
            <w:tcW w:type="dxa" w:w="9752"/>
            <w:tcBorders>
              <w:top w:val="nil"/>
              <w:left w:val="single" w:sz="24" w:space="0" w:color="CC1923"/>
              <w:bottom w:val="nil"/>
              <w:right w:val="nil"/>
            </w:tcBorders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CC1923"/>
                <w:sz w:val="18"/>
                <w:szCs w:val="18"/>
              </w:rPr>
              <w:t xml:space="preserve">Any “No”? </w:t>
            </w:r>
            <w:r>
              <w:rPr>
                <w:rFonts w:ascii="Arial" w:hAnsi="Arial" w:cs="Arial" w:eastAsia="Arial"/>
                <w:color w:val="111111"/>
                <w:sz w:val="18"/>
                <w:szCs w:val="18"/>
              </w:rPr>
              <w:t>Fix that first with better bookkeeping or a finance manager. A CFO on top of unreliable books spends your money cleaning data. You can still continue the scorecard to plan the next step.</w:t>
            </w:r>
          </w:p>
        </w:tc>
      </w:tr>
    </w:tbl>
    <w:p>
      <w:pPr>
        <w:spacing w:after="0" w:before="0" w:line="80" w:lineRule="exact"/>
      </w:pPr>
      <w:r>
        <w:rPr>
          <w:rFonts w:ascii="Arial" w:hAnsi="Arial" w:cs="Arial" w:eastAsia="Arial"/>
          <w:sz w:val="8"/>
          <w:szCs w:val="8"/>
        </w:rPr>
      </w:r>
    </w:p>
    <w:p>
      <w:pPr>
        <w:pStyle w:val="Heading1"/>
      </w:pPr>
      <w:r>
        <w:t>Step 3 — Complexity scorecard (0 to 20 points)</w:t>
      </w:r>
    </w:p>
    <w:p>
      <w:pPr>
        <w:spacing w:after="80"/>
      </w:pPr>
      <w:r>
        <w:rPr>
          <w:rFonts w:ascii="Arial" w:hAnsi="Arial" w:cs="Arial" w:eastAsia="Arial"/>
          <w:i w:val="0"/>
          <w:color w:val="111111"/>
          <w:sz w:val="20"/>
          <w:szCs w:val="20"/>
        </w:rPr>
        <w:t>For each factor, circle the description that fits and write 0, 1 or 2 in the last column.</w:t>
      </w:r>
    </w:p>
    <w:tbl>
      <w:tblPr>
        <w:tblW w:type="dxa" w:w="9752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381"/>
        <w:gridCol w:w="1927"/>
        <w:gridCol w:w="2041"/>
        <w:gridCol w:w="2494"/>
        <w:gridCol w:w="907"/>
      </w:tblGrid>
      <w:tr>
        <w:trPr>
          <w:cantSplit/>
          <w:tblHeader/>
        </w:trPr>
        <w:tc>
          <w:tcPr>
            <w:tcW w:type="dxa" w:w="2381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7"/>
                <w:szCs w:val="17"/>
              </w:rPr>
              <w:t>Factor</w:t>
            </w:r>
          </w:p>
        </w:tc>
        <w:tc>
          <w:tcPr>
            <w:tcW w:type="dxa" w:w="1928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7"/>
                <w:szCs w:val="17"/>
              </w:rPr>
              <w:t>0 points</w:t>
            </w:r>
          </w:p>
        </w:tc>
        <w:tc>
          <w:tcPr>
            <w:tcW w:type="dxa" w:w="2041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7"/>
                <w:szCs w:val="17"/>
              </w:rPr>
              <w:t>1 point</w:t>
            </w:r>
          </w:p>
        </w:tc>
        <w:tc>
          <w:tcPr>
            <w:tcW w:type="dxa" w:w="2494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7"/>
                <w:szCs w:val="17"/>
              </w:rPr>
              <w:t>2 points</w:t>
            </w:r>
          </w:p>
        </w:tc>
        <w:tc>
          <w:tcPr>
            <w:tcW w:type="dxa" w:w="907"/>
            <w:shd w:val="clear" w:color="auto" w:fill="111111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/>
                <w:bCs/>
                <w:color w:val="FFFFFF"/>
                <w:sz w:val="17"/>
                <w:szCs w:val="17"/>
              </w:rPr>
              <w:t>Score</w:t>
            </w:r>
          </w:p>
        </w:tc>
      </w:tr>
      <w:tr>
        <w:trPr>
          <w:cantSplit/>
          <w:trHeight w:val="397"/>
        </w:trPr>
        <w:tc>
          <w:tcPr>
            <w:tcW w:type="dxa" w:w="238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1. Banks and lenders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No borrowing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One simple facility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Several facilities, or covenants tested</w:t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38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2. Investors and board</w:t>
            </w:r>
          </w:p>
        </w:tc>
        <w:tc>
          <w:tcPr>
            <w:tcW w:type="dxa" w:w="192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Owner(s) only</w:t>
            </w:r>
          </w:p>
        </w:tc>
        <w:tc>
          <w:tcPr>
            <w:tcW w:type="dxa" w:w="204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Informal partners</w:t>
            </w:r>
          </w:p>
        </w:tc>
        <w:tc>
          <w:tcPr>
            <w:tcW w:type="dxa" w:w="2494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Formal board or outside investors expecting packs</w:t>
            </w:r>
          </w:p>
        </w:tc>
        <w:tc>
          <w:tcPr>
            <w:tcW w:type="dxa" w:w="907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38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3. Capital event in next 12 months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None planned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Being considered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Live: fundraise, acquisition, sale, restructuring</w:t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38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4. Entities and countries</w:t>
            </w:r>
          </w:p>
        </w:tc>
        <w:tc>
          <w:tcPr>
            <w:tcW w:type="dxa" w:w="192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One entity</w:t>
            </w:r>
          </w:p>
        </w:tc>
        <w:tc>
          <w:tcPr>
            <w:tcW w:type="dxa" w:w="204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2–3 entities, one country</w:t>
            </w:r>
          </w:p>
        </w:tc>
        <w:tc>
          <w:tcPr>
            <w:tcW w:type="dxa" w:w="2494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Several countries or group consolidation</w:t>
            </w:r>
          </w:p>
        </w:tc>
        <w:tc>
          <w:tcPr>
            <w:tcW w:type="dxa" w:w="907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38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5. Cash pressure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Comfortable buffer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Tight at times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Regular squeezes, or runway is a worry</w:t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38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6. Growth and change</w:t>
            </w:r>
          </w:p>
        </w:tc>
        <w:tc>
          <w:tcPr>
            <w:tcW w:type="dxa" w:w="192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Stable</w:t>
            </w:r>
          </w:p>
        </w:tc>
        <w:tc>
          <w:tcPr>
            <w:tcW w:type="dxa" w:w="204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Growing steadily</w:t>
            </w:r>
          </w:p>
        </w:tc>
        <w:tc>
          <w:tcPr>
            <w:tcW w:type="dxa" w:w="2494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Fast growth, new markets or products</w:t>
            </w:r>
          </w:p>
        </w:tc>
        <w:tc>
          <w:tcPr>
            <w:tcW w:type="dxa" w:w="907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38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7. Pricing and margin decisions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Simple, rarely change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Some quoting or bidding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Frequent bids, projects or contract pricing</w:t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38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8. Tax and compliance load</w:t>
            </w:r>
          </w:p>
        </w:tc>
        <w:tc>
          <w:tcPr>
            <w:tcW w:type="dxa" w:w="192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VAT only</w:t>
            </w:r>
          </w:p>
        </w:tc>
        <w:tc>
          <w:tcPr>
            <w:tcW w:type="dxa" w:w="204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VAT + e-invoicing + audit</w:t>
            </w:r>
          </w:p>
        </w:tc>
        <w:tc>
          <w:tcPr>
            <w:tcW w:type="dxa" w:w="2494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Several regimes, group audit, transfer pricing</w:t>
            </w:r>
          </w:p>
        </w:tc>
        <w:tc>
          <w:tcPr>
            <w:tcW w:type="dxa" w:w="907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38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9. Finance people to lead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0–1 person</w:t>
            </w:r>
          </w:p>
        </w:tc>
        <w:tc>
          <w:tcPr>
            <w:tcW w:type="dxa" w:w="2041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2–4 people or one provider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5+ people or several providers</w:t>
            </w:r>
          </w:p>
        </w:tc>
        <w:tc>
          <w:tcPr>
            <w:tcW w:type="dxa" w:w="907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38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10. Owner time spent on finance</w:t>
            </w:r>
          </w:p>
        </w:tc>
        <w:tc>
          <w:tcPr>
            <w:tcW w:type="dxa" w:w="192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Under 2 hours a week</w:t>
            </w:r>
          </w:p>
        </w:tc>
        <w:tc>
          <w:tcPr>
            <w:tcW w:type="dxa" w:w="2041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2–5 hours a week</w:t>
            </w:r>
          </w:p>
        </w:tc>
        <w:tc>
          <w:tcPr>
            <w:tcW w:type="dxa" w:w="2494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  <w:t>More than 5 hours, or decisions wait for numbers</w:t>
            </w:r>
          </w:p>
        </w:tc>
        <w:tc>
          <w:tcPr>
            <w:tcW w:type="dxa" w:w="907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381"/>
            <w:shd w:val="clear" w:color="auto" w:fill="FBE9EA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TOTAL (out of 20)</w:t>
            </w:r>
          </w:p>
        </w:tc>
        <w:tc>
          <w:tcPr>
            <w:tcW w:type="dxa" w:w="1928"/>
            <w:shd w:val="clear" w:color="auto" w:fill="FBE9EA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  <w:tc>
          <w:tcPr>
            <w:tcW w:type="dxa" w:w="2041"/>
            <w:shd w:val="clear" w:color="auto" w:fill="FBE9EA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  <w:tc>
          <w:tcPr>
            <w:tcW w:type="dxa" w:w="2494"/>
            <w:shd w:val="clear" w:color="auto" w:fill="FBE9EA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  <w:tc>
          <w:tcPr>
            <w:tcW w:type="dxa" w:w="907"/>
            <w:shd w:val="clear" w:color="auto" w:fill="FBE9EA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</w:tbl>
    <w:p>
      <w:pPr>
        <w:spacing w:after="0" w:before="0" w:line="120" w:lineRule="exact"/>
      </w:pPr>
      <w:r>
        <w:rPr>
          <w:rFonts w:ascii="Arial" w:hAnsi="Arial" w:cs="Arial" w:eastAsia="Arial"/>
          <w:sz w:val="12"/>
          <w:szCs w:val="12"/>
        </w:rPr>
      </w:r>
    </w:p>
    <w:p>
      <w:pPr>
        <w:pStyle w:val="Heading2"/>
      </w:pPr>
      <w:r>
        <w:t>What your score means</w:t>
      </w:r>
    </w:p>
    <w:tbl>
      <w:tblPr>
        <w:tblW w:type="dxa" w:w="9752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1134"/>
        <w:gridCol w:w="2608"/>
        <w:gridCol w:w="6010"/>
      </w:tblGrid>
      <w:tr>
        <w:trPr>
          <w:cantSplit/>
          <w:tblHeader/>
        </w:trPr>
        <w:tc>
          <w:tcPr>
            <w:tcW w:type="dxa" w:w="1134"/>
            <w:shd w:val="clear" w:color="auto" w:fill="111111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Score</w:t>
            </w:r>
          </w:p>
        </w:tc>
        <w:tc>
          <w:tcPr>
            <w:tcW w:type="dxa" w:w="2608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Likely answer</w:t>
            </w:r>
          </w:p>
        </w:tc>
        <w:tc>
          <w:tcPr>
            <w:tcW w:type="dxa" w:w="6009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What to do next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0–5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Fix the basics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Reliable bookkeeping or outsourced accounting, plus a monthly one-hour review of profit and cash.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6–10</w:t>
            </w:r>
          </w:p>
        </w:tc>
        <w:tc>
          <w:tcPr>
            <w:tcW w:type="dxa" w:w="260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Finance manager / controller</w:t>
            </w:r>
          </w:p>
        </w:tc>
        <w:tc>
          <w:tcPr>
            <w:tcW w:type="dxa" w:w="6009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Hire or outsource a finance manager to own the close, cash and compliance. Revisit in 6–12 months.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11–15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Fractional CFO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Add part-time CFO leadership on top of a finance manager or outsourced accounting.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16–20</w:t>
            </w:r>
          </w:p>
        </w:tc>
        <w:tc>
          <w:tcPr>
            <w:tcW w:type="dxa" w:w="260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Fractional CFO now; plan for full-time</w:t>
            </w:r>
          </w:p>
        </w:tc>
        <w:tc>
          <w:tcPr>
            <w:tcW w:type="dxa" w:w="6009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Use Step 4 to test whether a full-time CFO is now the better value.</w:t>
            </w:r>
          </w:p>
        </w:tc>
      </w:tr>
    </w:tbl>
    <w:p>
      <w:pPr>
        <w:spacing w:after="0" w:before="0" w:line="120" w:lineRule="exact"/>
      </w:pPr>
      <w:r>
        <w:rPr>
          <w:rFonts w:ascii="Arial" w:hAnsi="Arial" w:cs="Arial" w:eastAsia="Arial"/>
          <w:sz w:val="12"/>
          <w:szCs w:val="12"/>
        </w:rPr>
      </w:r>
    </w:p>
    <w:p>
      <w:pPr>
        <w:spacing w:after="80"/>
      </w:pPr>
      <w:r>
        <w:rPr>
          <w:rFonts w:ascii="Arial" w:hAnsi="Arial" w:cs="Arial" w:eastAsia="Arial"/>
          <w:b/>
          <w:bCs/>
          <w:i w:val="0"/>
          <w:color w:val="111111"/>
          <w:sz w:val="18"/>
          <w:szCs w:val="18"/>
        </w:rPr>
        <w:t xml:space="preserve">Override rules: </w:t>
      </w:r>
      <w:r>
        <w:rPr>
          <w:rFonts w:ascii="Arial" w:hAnsi="Arial" w:cs="Arial" w:eastAsia="Arial"/>
          <w:i w:val="0"/>
          <w:color w:val="111111"/>
          <w:sz w:val="18"/>
          <w:szCs w:val="18"/>
        </w:rPr>
        <w:t>a failed readiness gate (Step 2) means fix the basics first, whatever the score. A live capital event (factor 3 = 2) usually justifies intensive fractional or interim CFO support for the duration of the deal.</w:t>
      </w:r>
    </w:p>
    <w:p>
      <w:pPr>
        <w:spacing w:after="80"/>
      </w:pPr>
      <w:r>
        <w:rPr>
          <w:rFonts w:ascii="Arial" w:hAnsi="Arial" w:cs="Arial" w:eastAsia="Arial"/>
          <w:i/>
          <w:color w:val="555555"/>
          <w:sz w:val="17"/>
          <w:szCs w:val="17"/>
        </w:rPr>
        <w:t>The score bands are a rule of thumb from practice, not a market statistic. Use them to start the conversation, then apply your own judgment.</w:t>
      </w:r>
    </w:p>
    <w:p>
      <w:pPr>
        <w:pStyle w:val="Heading1"/>
      </w:pPr>
      <w:r>
        <w:t>Step 4 — Time and cost test</w:t>
      </w:r>
    </w:p>
    <w:p>
      <w:pPr>
        <w:pStyle w:val="Heading2"/>
      </w:pPr>
      <w:r>
        <w:t>4a. How many days a month of CFO-level work do you really have?</w:t>
      </w:r>
    </w:p>
    <w:tbl>
      <w:tblPr>
        <w:tblW w:type="dxa" w:w="9752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6917"/>
        <w:gridCol w:w="2835"/>
      </w:tblGrid>
      <w:tr>
        <w:trPr>
          <w:cantSplit/>
          <w:tblHeader/>
        </w:trPr>
        <w:tc>
          <w:tcPr>
            <w:tcW w:type="dxa" w:w="6917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CFO-level task</w:t>
            </w:r>
          </w:p>
        </w:tc>
        <w:tc>
          <w:tcPr>
            <w:tcW w:type="dxa" w:w="2835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Days per month (your estimate)</w:t>
            </w:r>
          </w:p>
        </w:tc>
      </w:tr>
      <w:tr>
        <w:trPr>
          <w:cantSplit/>
          <w:trHeight w:val="369"/>
        </w:trPr>
        <w:tc>
          <w:tcPr>
            <w:tcW w:type="dxa" w:w="6917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Monthly board / management pack and commentary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</w:r>
          </w:p>
        </w:tc>
      </w:tr>
      <w:tr>
        <w:trPr>
          <w:cantSplit/>
          <w:trHeight w:val="369"/>
        </w:trPr>
        <w:tc>
          <w:tcPr>
            <w:tcW w:type="dxa" w:w="6917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Budget, rolling forecast and 13-week cash forecast</w:t>
            </w:r>
          </w:p>
        </w:tc>
        <w:tc>
          <w:tcPr>
            <w:tcW w:type="dxa" w:w="2835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</w:r>
          </w:p>
        </w:tc>
      </w:tr>
      <w:tr>
        <w:trPr>
          <w:cantSplit/>
          <w:trHeight w:val="369"/>
        </w:trPr>
        <w:tc>
          <w:tcPr>
            <w:tcW w:type="dxa" w:w="6917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Bank, investor and auditor relationships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</w:r>
          </w:p>
        </w:tc>
      </w:tr>
      <w:tr>
        <w:trPr>
          <w:cantSplit/>
          <w:trHeight w:val="369"/>
        </w:trPr>
        <w:tc>
          <w:tcPr>
            <w:tcW w:type="dxa" w:w="6917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Decision support: pricing, hiring, capex, expansion</w:t>
            </w:r>
          </w:p>
        </w:tc>
        <w:tc>
          <w:tcPr>
            <w:tcW w:type="dxa" w:w="2835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</w:r>
          </w:p>
        </w:tc>
      </w:tr>
      <w:tr>
        <w:trPr>
          <w:cantSplit/>
          <w:trHeight w:val="369"/>
        </w:trPr>
        <w:tc>
          <w:tcPr>
            <w:tcW w:type="dxa" w:w="6917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Projects: fundraising, due diligence, new entity, system change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</w:r>
          </w:p>
        </w:tc>
      </w:tr>
      <w:tr>
        <w:trPr>
          <w:cantSplit/>
          <w:trHeight w:val="369"/>
        </w:trPr>
        <w:tc>
          <w:tcPr>
            <w:tcW w:type="dxa" w:w="6917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TOTAL days per month</w:t>
            </w:r>
          </w:p>
        </w:tc>
        <w:tc>
          <w:tcPr>
            <w:tcW w:type="dxa" w:w="2835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</w:r>
          </w:p>
        </w:tc>
      </w:tr>
    </w:tbl>
    <w:p>
      <w:pPr>
        <w:spacing w:after="0" w:before="0" w:line="120" w:lineRule="exact"/>
      </w:pPr>
      <w:r>
        <w:rPr>
          <w:rFonts w:ascii="Arial" w:hAnsi="Arial" w:cs="Arial" w:eastAsia="Arial"/>
          <w:sz w:val="12"/>
          <w:szCs w:val="12"/>
        </w:rPr>
      </w:r>
    </w:p>
    <w:p>
      <w:pPr>
        <w:spacing w:after="80"/>
      </w:pPr>
      <w:r>
        <w:rPr>
          <w:rFonts w:ascii="Arial" w:hAnsi="Arial" w:cs="Arial" w:eastAsia="Arial"/>
          <w:b/>
          <w:bCs/>
          <w:i w:val="0"/>
          <w:color w:val="111111"/>
          <w:sz w:val="18"/>
          <w:szCs w:val="18"/>
        </w:rPr>
        <w:t xml:space="preserve">Read the result: </w:t>
      </w:r>
      <w:r>
        <w:rPr>
          <w:rFonts w:ascii="Arial" w:hAnsi="Arial" w:cs="Arial" w:eastAsia="Arial"/>
          <w:i w:val="0"/>
          <w:color w:val="111111"/>
          <w:sz w:val="18"/>
          <w:szCs w:val="18"/>
        </w:rPr>
        <w:t>about 1 day a month suggests a light fractional arrangement; 2–6 days fits a standard fractional CFO; if you expect more than about half of every working week for at least the next 6–12 months, compare a full-time hire.</w:t>
      </w:r>
    </w:p>
    <w:p>
      <w:pPr>
        <w:pStyle w:val="Heading2"/>
      </w:pPr>
      <w:r>
        <w:t>4b. Compare costs using your own quotes</w:t>
      </w:r>
    </w:p>
    <w:p>
      <w:pPr>
        <w:spacing w:after="80"/>
      </w:pPr>
      <w:r>
        <w:rPr>
          <w:rFonts w:ascii="Arial" w:hAnsi="Arial" w:cs="Arial" w:eastAsia="Arial"/>
          <w:i w:val="0"/>
          <w:color w:val="111111"/>
          <w:sz w:val="18"/>
          <w:szCs w:val="18"/>
        </w:rPr>
        <w:t>Enter real numbers from recruiters and providers in your market. Include everything: salary, allowances, benefits, end-of-service, visas or housing where relevant, recruitment fees and management time.</w:t>
      </w:r>
    </w:p>
    <w:tbl>
      <w:tblPr>
        <w:tblW w:type="dxa" w:w="9752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268"/>
        <w:gridCol w:w="1644"/>
        <w:gridCol w:w="1757"/>
        <w:gridCol w:w="1927"/>
        <w:gridCol w:w="2154"/>
      </w:tblGrid>
      <w:tr>
        <w:trPr>
          <w:cantSplit/>
          <w:tblHeader/>
        </w:trPr>
        <w:tc>
          <w:tcPr>
            <w:tcW w:type="dxa" w:w="2268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7"/>
                <w:szCs w:val="17"/>
              </w:rPr>
              <w:t>Option</w:t>
            </w:r>
          </w:p>
        </w:tc>
        <w:tc>
          <w:tcPr>
            <w:tcW w:type="dxa" w:w="1644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7"/>
                <w:szCs w:val="17"/>
              </w:rPr>
              <w:t>Annual all-in cost (A)</w:t>
            </w:r>
          </w:p>
        </w:tc>
        <w:tc>
          <w:tcPr>
            <w:tcW w:type="dxa" w:w="1757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7"/>
                <w:szCs w:val="17"/>
              </w:rPr>
              <w:t>Senior days you get per month (B)</w:t>
            </w:r>
          </w:p>
        </w:tc>
        <w:tc>
          <w:tcPr>
            <w:tcW w:type="dxa" w:w="1928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7"/>
                <w:szCs w:val="17"/>
              </w:rPr>
              <w:t>Cost per senior day = A ÷ (B × 12)</w:t>
            </w:r>
          </w:p>
        </w:tc>
        <w:tc>
          <w:tcPr>
            <w:tcW w:type="dxa" w:w="2154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7"/>
                <w:szCs w:val="17"/>
              </w:rPr>
              <w:t>Annual cost for the days you need</w:t>
            </w:r>
          </w:p>
        </w:tc>
      </w:tr>
      <w:tr>
        <w:trPr>
          <w:cantSplit/>
          <w:trHeight w:val="397"/>
        </w:trPr>
        <w:tc>
          <w:tcPr>
            <w:tcW w:type="dxa" w:w="2268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Finance manager (full-time)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  <w:tc>
          <w:tcPr>
            <w:tcW w:type="dxa" w:w="1757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26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Fractional CFO</w:t>
            </w:r>
          </w:p>
        </w:tc>
        <w:tc>
          <w:tcPr>
            <w:tcW w:type="dxa" w:w="1644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  <w:tc>
          <w:tcPr>
            <w:tcW w:type="dxa" w:w="1757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  <w:tc>
          <w:tcPr>
            <w:tcW w:type="dxa" w:w="192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  <w:tc>
          <w:tcPr>
            <w:tcW w:type="dxa" w:w="2154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268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7"/>
                <w:szCs w:val="17"/>
              </w:rPr>
              <w:t>Full-time CFO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  <w:tc>
          <w:tcPr>
            <w:tcW w:type="dxa" w:w="1757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7"/>
                <w:szCs w:val="17"/>
              </w:rPr>
            </w:r>
          </w:p>
        </w:tc>
      </w:tr>
      <w:tr>
        <w:trPr>
          <w:cantSplit/>
          <w:trHeight w:val="397"/>
        </w:trPr>
        <w:tc>
          <w:tcPr>
            <w:tcW w:type="dxa" w:w="226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CC1923"/>
                <w:sz w:val="17"/>
                <w:szCs w:val="17"/>
              </w:rPr>
              <w:t>Example only</w:t>
            </w:r>
            <w:r>
              <w:rPr>
                <w:rFonts w:ascii="Arial" w:hAnsi="Arial" w:cs="Arial" w:eastAsia="Arial"/>
                <w:b w:val="0"/>
                <w:i/>
                <w:color w:val="111111"/>
                <w:sz w:val="17"/>
                <w:szCs w:val="17"/>
              </w:rPr>
              <w:t xml:space="preserve"> (illustrative numbers, not market rates): full-time CFO</w:t>
            </w:r>
          </w:p>
        </w:tc>
        <w:tc>
          <w:tcPr>
            <w:tcW w:type="dxa" w:w="1644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111111"/>
                <w:sz w:val="17"/>
                <w:szCs w:val="17"/>
              </w:rPr>
              <w:t>600,000</w:t>
            </w:r>
          </w:p>
        </w:tc>
        <w:tc>
          <w:tcPr>
            <w:tcW w:type="dxa" w:w="1757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111111"/>
                <w:sz w:val="17"/>
                <w:szCs w:val="17"/>
              </w:rPr>
              <w:t>20</w:t>
            </w:r>
          </w:p>
        </w:tc>
        <w:tc>
          <w:tcPr>
            <w:tcW w:type="dxa" w:w="192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111111"/>
                <w:sz w:val="17"/>
                <w:szCs w:val="17"/>
              </w:rPr>
              <w:t>2,500</w:t>
            </w:r>
          </w:p>
        </w:tc>
        <w:tc>
          <w:tcPr>
            <w:tcW w:type="dxa" w:w="2154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111111"/>
                <w:sz w:val="17"/>
                <w:szCs w:val="17"/>
              </w:rPr>
              <w:t>600,000 (you pay for 20 days even if you need 4)</w:t>
            </w:r>
          </w:p>
        </w:tc>
      </w:tr>
      <w:tr>
        <w:trPr>
          <w:cantSplit/>
          <w:trHeight w:val="397"/>
        </w:trPr>
        <w:tc>
          <w:tcPr>
            <w:tcW w:type="dxa" w:w="2268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CC1923"/>
                <w:sz w:val="17"/>
                <w:szCs w:val="17"/>
              </w:rPr>
              <w:t>Example only</w:t>
            </w:r>
            <w:r>
              <w:rPr>
                <w:rFonts w:ascii="Arial" w:hAnsi="Arial" w:cs="Arial" w:eastAsia="Arial"/>
                <w:b w:val="0"/>
                <w:i/>
                <w:color w:val="111111"/>
                <w:sz w:val="17"/>
                <w:szCs w:val="17"/>
              </w:rPr>
              <w:t>: fractional CFO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111111"/>
                <w:sz w:val="17"/>
                <w:szCs w:val="17"/>
              </w:rPr>
              <w:t>192,000</w:t>
            </w:r>
          </w:p>
        </w:tc>
        <w:tc>
          <w:tcPr>
            <w:tcW w:type="dxa" w:w="1757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111111"/>
                <w:sz w:val="17"/>
                <w:szCs w:val="17"/>
              </w:rPr>
              <w:t>4,000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i/>
                <w:color w:val="111111"/>
                <w:sz w:val="17"/>
                <w:szCs w:val="17"/>
              </w:rPr>
              <w:t>192,000</w:t>
            </w:r>
          </w:p>
        </w:tc>
      </w:tr>
    </w:tbl>
    <w:p>
      <w:pPr>
        <w:spacing w:after="0" w:before="0" w:line="120" w:lineRule="exact"/>
      </w:pPr>
      <w:r>
        <w:rPr>
          <w:rFonts w:ascii="Arial" w:hAnsi="Arial" w:cs="Arial" w:eastAsia="Arial"/>
          <w:sz w:val="12"/>
          <w:szCs w:val="12"/>
        </w:rPr>
      </w:r>
    </w:p>
    <w:p>
      <w:pPr>
        <w:spacing w:after="80"/>
      </w:pPr>
      <w:r>
        <w:rPr>
          <w:rFonts w:ascii="Arial" w:hAnsi="Arial" w:cs="Arial" w:eastAsia="Arial"/>
          <w:i w:val="0"/>
          <w:color w:val="111111"/>
          <w:sz w:val="18"/>
          <w:szCs w:val="18"/>
        </w:rPr>
        <w:t>In the example the fractional CFO costs more per day but far less in total, because you only buy the days you need. The comparison tips towards full-time when the days you need approach a full working month.</w:t>
      </w:r>
    </w:p>
    <w:p>
      <w:pPr>
        <w:pStyle w:val="Heading1"/>
      </w:pPr>
      <w:r>
        <w:t>Step 5 — Before you sign: outputs and red flags</w:t>
      </w:r>
    </w:p>
    <w:p>
      <w:pPr>
        <w:pStyle w:val="Heading2"/>
      </w:pPr>
      <w:r>
        <w:t>Outputs to write into any CFO engagement or job description</w:t>
      </w:r>
    </w:p>
    <w:p>
      <w:pPr>
        <w:spacing w:after="40"/>
        <w:ind w:left="340" w:hanging="255"/>
      </w:pPr>
      <w:r>
        <w:rPr>
          <w:rFonts w:ascii="Segoe UI Symbol" w:hAnsi="Segoe UI Symbol" w:cs="Segoe UI Symbol" w:eastAsia="Segoe UI Symbol"/>
          <w:color w:val="111111"/>
          <w:sz w:val="21"/>
          <w:szCs w:val="21"/>
        </w:rPr>
        <w:t xml:space="preserve">☐ </w:t>
      </w:r>
      <w:r>
        <w:rPr>
          <w:rFonts w:ascii="Arial" w:hAnsi="Arial" w:cs="Arial" w:eastAsia="Arial"/>
          <w:b/>
          <w:bCs/>
          <w:sz w:val="19"/>
          <w:szCs w:val="19"/>
        </w:rPr>
        <w:t xml:space="preserve">Monthly management pack </w:t>
      </w:r>
      <w:r>
        <w:rPr>
          <w:rFonts w:ascii="Arial" w:hAnsi="Arial" w:cs="Arial" w:eastAsia="Arial"/>
          <w:sz w:val="19"/>
          <w:szCs w:val="19"/>
        </w:rPr>
        <w:t>with KPIs, variance commentary and a forward look, on a fixed date.</w:t>
      </w:r>
    </w:p>
    <w:p>
      <w:pPr>
        <w:spacing w:after="40"/>
        <w:ind w:left="340" w:hanging="255"/>
      </w:pPr>
      <w:r>
        <w:rPr>
          <w:rFonts w:ascii="Segoe UI Symbol" w:hAnsi="Segoe UI Symbol" w:cs="Segoe UI Symbol" w:eastAsia="Segoe UI Symbol"/>
          <w:color w:val="111111"/>
          <w:sz w:val="21"/>
          <w:szCs w:val="21"/>
        </w:rPr>
        <w:t xml:space="preserve">☐ </w:t>
      </w:r>
      <w:r>
        <w:rPr>
          <w:rFonts w:ascii="Arial" w:hAnsi="Arial" w:cs="Arial" w:eastAsia="Arial"/>
          <w:b/>
          <w:bCs/>
          <w:sz w:val="19"/>
          <w:szCs w:val="19"/>
        </w:rPr>
        <w:t xml:space="preserve">Annual budget and rolling forecast </w:t>
      </w:r>
      <w:r>
        <w:rPr>
          <w:rFonts w:ascii="Arial" w:hAnsi="Arial" w:cs="Arial" w:eastAsia="Arial"/>
          <w:sz w:val="19"/>
          <w:szCs w:val="19"/>
        </w:rPr>
        <w:t>refreshed at least quarterly, with assumptions written down.</w:t>
      </w:r>
    </w:p>
    <w:p>
      <w:pPr>
        <w:spacing w:after="40"/>
        <w:ind w:left="340" w:hanging="255"/>
      </w:pPr>
      <w:r>
        <w:rPr>
          <w:rFonts w:ascii="Segoe UI Symbol" w:hAnsi="Segoe UI Symbol" w:cs="Segoe UI Symbol" w:eastAsia="Segoe UI Symbol"/>
          <w:color w:val="111111"/>
          <w:sz w:val="21"/>
          <w:szCs w:val="21"/>
        </w:rPr>
        <w:t xml:space="preserve">☐ </w:t>
      </w:r>
      <w:r>
        <w:rPr>
          <w:rFonts w:ascii="Arial" w:hAnsi="Arial" w:cs="Arial" w:eastAsia="Arial"/>
          <w:b/>
          <w:bCs/>
          <w:sz w:val="19"/>
          <w:szCs w:val="19"/>
        </w:rPr>
        <w:t xml:space="preserve">13-week cash forecast </w:t>
      </w:r>
      <w:r>
        <w:rPr>
          <w:rFonts w:ascii="Arial" w:hAnsi="Arial" w:cs="Arial" w:eastAsia="Arial"/>
          <w:sz w:val="19"/>
          <w:szCs w:val="19"/>
        </w:rPr>
        <w:t>updated regularly, with a clear view of runway and funding needs.</w:t>
      </w:r>
    </w:p>
    <w:p>
      <w:pPr>
        <w:spacing w:after="40"/>
        <w:ind w:left="340" w:hanging="255"/>
      </w:pPr>
      <w:r>
        <w:rPr>
          <w:rFonts w:ascii="Segoe UI Symbol" w:hAnsi="Segoe UI Symbol" w:cs="Segoe UI Symbol" w:eastAsia="Segoe UI Symbol"/>
          <w:color w:val="111111"/>
          <w:sz w:val="21"/>
          <w:szCs w:val="21"/>
        </w:rPr>
        <w:t xml:space="preserve">☐ </w:t>
      </w:r>
      <w:r>
        <w:rPr>
          <w:rFonts w:ascii="Arial" w:hAnsi="Arial" w:cs="Arial" w:eastAsia="Arial"/>
          <w:b/>
          <w:bCs/>
          <w:sz w:val="19"/>
          <w:szCs w:val="19"/>
        </w:rPr>
        <w:t xml:space="preserve">Bank, investor and board communication </w:t>
      </w:r>
      <w:r>
        <w:rPr>
          <w:rFonts w:ascii="Arial" w:hAnsi="Arial" w:cs="Arial" w:eastAsia="Arial"/>
          <w:sz w:val="19"/>
          <w:szCs w:val="19"/>
        </w:rPr>
        <w:t>drafted by the CFO, approved by the CEO.</w:t>
      </w:r>
    </w:p>
    <w:p>
      <w:pPr>
        <w:spacing w:after="40"/>
        <w:ind w:left="340" w:hanging="255"/>
      </w:pPr>
      <w:r>
        <w:rPr>
          <w:rFonts w:ascii="Segoe UI Symbol" w:hAnsi="Segoe UI Symbol" w:cs="Segoe UI Symbol" w:eastAsia="Segoe UI Symbol"/>
          <w:color w:val="111111"/>
          <w:sz w:val="21"/>
          <w:szCs w:val="21"/>
        </w:rPr>
        <w:t xml:space="preserve">☐ </w:t>
      </w:r>
      <w:r>
        <w:rPr>
          <w:rFonts w:ascii="Arial" w:hAnsi="Arial" w:cs="Arial" w:eastAsia="Arial"/>
          <w:b/>
          <w:bCs/>
          <w:sz w:val="19"/>
          <w:szCs w:val="19"/>
        </w:rPr>
        <w:t xml:space="preserve">One-page decision memos </w:t>
      </w:r>
      <w:r>
        <w:rPr>
          <w:rFonts w:ascii="Arial" w:hAnsi="Arial" w:cs="Arial" w:eastAsia="Arial"/>
          <w:sz w:val="19"/>
          <w:szCs w:val="19"/>
        </w:rPr>
        <w:t>for material decisions: pricing, hires, capex, new markets.</w:t>
      </w:r>
    </w:p>
    <w:p>
      <w:pPr>
        <w:spacing w:after="40"/>
        <w:ind w:left="340" w:hanging="255"/>
      </w:pPr>
      <w:r>
        <w:rPr>
          <w:rFonts w:ascii="Segoe UI Symbol" w:hAnsi="Segoe UI Symbol" w:cs="Segoe UI Symbol" w:eastAsia="Segoe UI Symbol"/>
          <w:color w:val="111111"/>
          <w:sz w:val="21"/>
          <w:szCs w:val="21"/>
        </w:rPr>
        <w:t xml:space="preserve">☐ </w:t>
      </w:r>
      <w:r>
        <w:rPr>
          <w:rFonts w:ascii="Arial" w:hAnsi="Arial" w:cs="Arial" w:eastAsia="Arial"/>
          <w:b/>
          <w:bCs/>
          <w:sz w:val="19"/>
          <w:szCs w:val="19"/>
        </w:rPr>
        <w:t xml:space="preserve">Project deliverables when needed: </w:t>
      </w:r>
      <w:r>
        <w:rPr>
          <w:rFonts w:ascii="Arial" w:hAnsi="Arial" w:cs="Arial" w:eastAsia="Arial"/>
          <w:sz w:val="19"/>
          <w:szCs w:val="19"/>
        </w:rPr>
        <w:t>fundraising materials, due-diligence pack, valuation or sensitivity model.</w:t>
      </w:r>
    </w:p>
    <w:p>
      <w:pPr>
        <w:pStyle w:val="Heading2"/>
      </w:pPr>
      <w:r>
        <w:t>Do not hire a CFO yet if…</w:t>
      </w:r>
    </w:p>
    <w:p>
      <w:pPr>
        <w:spacing w:after="40"/>
        <w:ind w:left="340" w:hanging="255"/>
      </w:pPr>
      <w:r>
        <w:rPr>
          <w:rFonts w:ascii="Segoe UI Symbol" w:hAnsi="Segoe UI Symbol" w:cs="Segoe UI Symbol" w:eastAsia="Segoe UI Symbol"/>
          <w:color w:val="111111"/>
          <w:sz w:val="21"/>
          <w:szCs w:val="21"/>
        </w:rPr>
        <w:t xml:space="preserve">☐ </w:t>
      </w:r>
      <w:r>
        <w:rPr>
          <w:rFonts w:ascii="Arial" w:hAnsi="Arial" w:cs="Arial" w:eastAsia="Arial"/>
          <w:sz w:val="19"/>
          <w:szCs w:val="19"/>
        </w:rPr>
        <w:t>you expect the CFO to also do the bookkeeping (that is a finance manager or accountant role);</w:t>
      </w:r>
    </w:p>
    <w:p>
      <w:pPr>
        <w:spacing w:after="40"/>
        <w:ind w:left="340" w:hanging="255"/>
      </w:pPr>
      <w:r>
        <w:rPr>
          <w:rFonts w:ascii="Segoe UI Symbol" w:hAnsi="Segoe UI Symbol" w:cs="Segoe UI Symbol" w:eastAsia="Segoe UI Symbol"/>
          <w:color w:val="111111"/>
          <w:sz w:val="21"/>
          <w:szCs w:val="21"/>
        </w:rPr>
        <w:t xml:space="preserve">☐ </w:t>
      </w:r>
      <w:r>
        <w:rPr>
          <w:rFonts w:ascii="Arial" w:hAnsi="Arial" w:cs="Arial" w:eastAsia="Arial"/>
          <w:sz w:val="19"/>
          <w:szCs w:val="19"/>
        </w:rPr>
        <w:t>you want someone to sign documents you will not read;</w:t>
      </w:r>
    </w:p>
    <w:p>
      <w:pPr>
        <w:spacing w:after="40"/>
        <w:ind w:left="340" w:hanging="255"/>
      </w:pPr>
      <w:r>
        <w:rPr>
          <w:rFonts w:ascii="Segoe UI Symbol" w:hAnsi="Segoe UI Symbol" w:cs="Segoe UI Symbol" w:eastAsia="Segoe UI Symbol"/>
          <w:color w:val="111111"/>
          <w:sz w:val="21"/>
          <w:szCs w:val="21"/>
        </w:rPr>
        <w:t xml:space="preserve">☐ </w:t>
      </w:r>
      <w:r>
        <w:rPr>
          <w:rFonts w:ascii="Arial" w:hAnsi="Arial" w:cs="Arial" w:eastAsia="Arial"/>
          <w:sz w:val="19"/>
          <w:szCs w:val="19"/>
        </w:rPr>
        <w:t>you cannot give one hour a month to review the numbers and decide;</w:t>
      </w:r>
    </w:p>
    <w:p>
      <w:pPr>
        <w:spacing w:after="40"/>
        <w:ind w:left="340" w:hanging="255"/>
      </w:pPr>
      <w:r>
        <w:rPr>
          <w:rFonts w:ascii="Segoe UI Symbol" w:hAnsi="Segoe UI Symbol" w:cs="Segoe UI Symbol" w:eastAsia="Segoe UI Symbol"/>
          <w:color w:val="111111"/>
          <w:sz w:val="21"/>
          <w:szCs w:val="21"/>
        </w:rPr>
        <w:t xml:space="preserve">☐ </w:t>
      </w:r>
      <w:r>
        <w:rPr>
          <w:rFonts w:ascii="Arial" w:hAnsi="Arial" w:cs="Arial" w:eastAsia="Arial"/>
          <w:sz w:val="19"/>
          <w:szCs w:val="19"/>
        </w:rPr>
        <w:t>you have no defined outputs or questions for the CFO to answer.</w:t>
      </w:r>
    </w:p>
    <w:p>
      <w:pPr>
        <w:pStyle w:val="Heading1"/>
      </w:pPr>
      <w:r>
        <w:t>One-page decision tree</w:t>
      </w:r>
    </w:p>
    <w:tbl>
      <w:tblPr>
        <w:tblW w:type="dxa" w:w="9752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4762"/>
        <w:gridCol w:w="2268"/>
        <w:gridCol w:w="2268"/>
      </w:tblGrid>
      <w:tr>
        <w:trPr>
          <w:cantSplit/>
          <w:tblHeader/>
        </w:trPr>
        <w:tc>
          <w:tcPr>
            <w:tcW w:type="dxa" w:w="454"/>
            <w:shd w:val="clear" w:color="auto" w:fill="111111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type="dxa" w:w="4762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Question</w:t>
            </w:r>
          </w:p>
        </w:tc>
        <w:tc>
          <w:tcPr>
            <w:tcW w:type="dxa" w:w="2268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If YES</w:t>
            </w:r>
          </w:p>
        </w:tc>
        <w:tc>
          <w:tcPr>
            <w:tcW w:type="dxa" w:w="2268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If NO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Are your books reliable and closed within about two weeks of month-end?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Go to 2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Fix the basics first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762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Did you score 6 or more in Step 3?</w:t>
            </w:r>
          </w:p>
        </w:tc>
        <w:tc>
          <w:tcPr>
            <w:tcW w:type="dxa" w:w="226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Go to 3</w:t>
            </w:r>
          </w:p>
        </w:tc>
        <w:tc>
          <w:tcPr>
            <w:tcW w:type="dxa" w:w="226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Fix the basics + monthly owner review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Did you score 11 or more, or do you have a lender, board, investor or deal to manage?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Go to 4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Finance manager / controller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4F4F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4762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Is there a live fundraise, acquisition, sale or restructuring?</w:t>
            </w:r>
          </w:p>
        </w:tc>
        <w:tc>
          <w:tcPr>
            <w:tcW w:type="dxa" w:w="226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Intensive fractional or interim CFO for the deal</w:t>
            </w:r>
          </w:p>
        </w:tc>
        <w:tc>
          <w:tcPr>
            <w:tcW w:type="dxa" w:w="2268"/>
            <w:shd w:val="clear" w:color="auto" w:fill="F4F4F4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Go to 5</w:t>
            </w:r>
          </w:p>
        </w:tc>
      </w:tr>
      <w:tr>
        <w:trPr>
          <w:cantSplit/>
        </w:trPr>
        <w:tc>
          <w:tcPr>
            <w:tcW w:type="dxa" w:w="454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4762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Will CFO-level work fill more than about half of every week for 6–12 months, and does a full-time hire cost less per needed day (Step 4)?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Full-time CFO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111111"/>
                <w:sz w:val="18"/>
                <w:szCs w:val="18"/>
              </w:rPr>
              <w:t>Fractional CFO</w:t>
            </w:r>
          </w:p>
        </w:tc>
      </w:tr>
    </w:tbl>
    <w:p>
      <w:pPr>
        <w:spacing w:after="0" w:before="0" w:line="120" w:lineRule="exact"/>
      </w:pPr>
      <w:r>
        <w:rPr>
          <w:rFonts w:ascii="Arial" w:hAnsi="Arial" w:cs="Arial" w:eastAsia="Arial"/>
          <w:sz w:val="12"/>
          <w:szCs w:val="12"/>
        </w:rPr>
      </w:r>
    </w:p>
    <w:p>
      <w:pPr>
        <w:pStyle w:val="Heading2"/>
      </w:pPr>
      <w:r>
        <w:t>My answer</w:t>
      </w:r>
    </w:p>
    <w:tbl>
      <w:tblPr>
        <w:tblW w:type="dxa" w:w="9752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3175"/>
        <w:gridCol w:w="6577"/>
      </w:tblGrid>
      <w:tr>
        <w:trPr>
          <w:cantSplit/>
          <w:tblHeader/>
        </w:trPr>
        <w:tc>
          <w:tcPr>
            <w:tcW w:type="dxa" w:w="3175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Item</w:t>
            </w:r>
          </w:p>
        </w:tc>
        <w:tc>
          <w:tcPr>
            <w:tcW w:type="dxa" w:w="6576"/>
            <w:shd w:val="clear" w:color="auto" w:fill="111111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bCs/>
                <w:color w:val="FFFFFF"/>
                <w:sz w:val="18"/>
                <w:szCs w:val="18"/>
              </w:rPr>
              <w:t>Your answer</w:t>
            </w:r>
          </w:p>
        </w:tc>
      </w:tr>
      <w:tr>
        <w:trPr>
          <w:cantSplit/>
          <w:trHeight w:val="397"/>
        </w:trPr>
        <w:tc>
          <w:tcPr>
            <w:tcW w:type="dxa" w:w="3175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Score (Step 3)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3175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Days a month of CFO-level work (Step 4a)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3175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My answer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☐ Fix the basics   ☐ Finance manager   ☐ Fractional CFO   ☐ Full-time CFO</w:t>
            </w:r>
          </w:p>
        </w:tc>
      </w:tr>
      <w:tr>
        <w:trPr>
          <w:cantSplit/>
          <w:trHeight w:val="397"/>
        </w:trPr>
        <w:tc>
          <w:tcPr>
            <w:tcW w:type="dxa" w:w="3175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  <w:t>First action and date</w:t>
            </w: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11111"/>
                <w:sz w:val="18"/>
                <w:szCs w:val="18"/>
              </w:rPr>
            </w:r>
          </w:p>
        </w:tc>
      </w:tr>
    </w:tbl>
    <w:p>
      <w:pPr>
        <w:spacing w:after="0" w:before="0" w:line="120" w:lineRule="exact"/>
      </w:pPr>
      <w:r>
        <w:rPr>
          <w:rFonts w:ascii="Arial" w:hAnsi="Arial" w:cs="Arial" w:eastAsia="Arial"/>
          <w:sz w:val="12"/>
          <w:szCs w:val="12"/>
        </w:rPr>
      </w:r>
    </w:p>
    <w:p>
      <w:r>
        <w:br w:type="page"/>
      </w:r>
    </w:p>
    <w:p>
      <w:pPr>
        <w:keepNext/>
        <w:bidi/>
        <w:spacing w:after="120"/>
      </w:pPr>
      <w:r>
        <w:rPr>
          <w:rFonts w:ascii="Arial" w:hAnsi="Arial" w:cs="Arial" w:eastAsia="Arial"/>
          <w:b/>
          <w:bCs/>
          <w:color w:val="111111"/>
          <w:sz w:val="30"/>
          <w:szCs w:val="30"/>
          <w:rtl/>
        </w:rPr>
        <w:t>ملخص بالعربية</w:t>
      </w:r>
    </w:p>
    <w:p>
      <w:pPr>
        <w:keepNext/>
        <w:bidi/>
        <w:spacing w:after="60"/>
      </w:pPr>
      <w:r>
        <w:rPr>
          <w:rFonts w:ascii="Arial" w:hAnsi="Arial" w:cs="Arial" w:eastAsia="Arial"/>
          <w:b/>
          <w:bCs/>
          <w:color w:val="111111"/>
          <w:sz w:val="24"/>
          <w:szCs w:val="24"/>
          <w:rtl/>
        </w:rPr>
        <w:t>هل تحتاج فعلاً إلى مدير مالي؟ بطاقة قرار في 15 دقيقة</w:t>
      </w:r>
    </w:p>
    <w:p>
      <w:pPr>
        <w:bidi/>
        <w:spacing w:after="60"/>
      </w:pPr>
      <w:r>
        <w:rPr>
          <w:rFonts w:ascii="Arial" w:hAnsi="Arial" w:cs="Arial" w:eastAsia="Arial"/>
          <w:b w:val="0"/>
          <w:color w:val="111111"/>
          <w:sz w:val="19"/>
          <w:szCs w:val="19"/>
          <w:rtl/>
        </w:rPr>
        <w:t>1. حدّد المشكلة الحقيقية: تأخر الدفاتر مشكلة محاسبة، وعدم معرفة الأرقام مشكلة إقفال شهري وتقارير إدارية، أما التمويل والبنوك والمستثمرون والقرارات الكبرى فهي عمل المدير المالي.</w:t>
      </w:r>
    </w:p>
    <w:p>
      <w:pPr>
        <w:bidi/>
        <w:spacing w:after="60"/>
      </w:pPr>
      <w:r>
        <w:rPr>
          <w:rFonts w:ascii="Arial" w:hAnsi="Arial" w:cs="Arial" w:eastAsia="Arial"/>
          <w:b w:val="0"/>
          <w:color w:val="111111"/>
          <w:sz w:val="19"/>
          <w:szCs w:val="19"/>
          <w:rtl/>
        </w:rPr>
        <w:t>2. اختبار الجاهزية: إذا لم تكن الحسابات الشهرية مُقفلة خلال أسبوعين تقريباً، أو كانت الإقرارات الضريبية متأخرة، فابدأ بإصلاح الأساسيات أولاً.</w:t>
      </w:r>
    </w:p>
    <w:p>
      <w:pPr>
        <w:bidi/>
        <w:spacing w:after="60"/>
      </w:pPr>
      <w:r>
        <w:rPr>
          <w:rFonts w:ascii="Arial" w:hAnsi="Arial" w:cs="Arial" w:eastAsia="Arial"/>
          <w:b w:val="0"/>
          <w:color w:val="111111"/>
          <w:sz w:val="19"/>
          <w:szCs w:val="19"/>
          <w:rtl/>
        </w:rPr>
        <w:t>3. بطاقة التعقيد: قيّم 10 عوامل من 0 إلى 2. المجموع 0–5: أصلح الأساسيات، 6–10: مدير حسابات / مراقب مالي، 11–15: مدير مالي بدوام جزئي، 16–20: مدير مالي بدوام جزئي الآن مع التخطيط لمدير مالي متفرغ.</w:t>
      </w:r>
    </w:p>
    <w:p>
      <w:pPr>
        <w:bidi/>
        <w:spacing w:after="60"/>
      </w:pPr>
      <w:r>
        <w:rPr>
          <w:rFonts w:ascii="Arial" w:hAnsi="Arial" w:cs="Arial" w:eastAsia="Arial"/>
          <w:b w:val="0"/>
          <w:color w:val="111111"/>
          <w:sz w:val="19"/>
          <w:szCs w:val="19"/>
          <w:rtl/>
        </w:rPr>
        <w:t>4. اختبار الوقت والتكلفة: قدّر عدد أيام العمل الشهرية التي تحتاجها فعلاً على مستوى المدير المالي، وقارن التكلفة باستخدام عروض أسعار حقيقية من سوقك.</w:t>
      </w:r>
    </w:p>
    <w:p>
      <w:pPr>
        <w:bidi/>
        <w:spacing w:after="60"/>
      </w:pPr>
      <w:r>
        <w:rPr>
          <w:rFonts w:ascii="Arial" w:hAnsi="Arial" w:cs="Arial" w:eastAsia="Arial"/>
          <w:b w:val="0"/>
          <w:color w:val="111111"/>
          <w:sz w:val="19"/>
          <w:szCs w:val="19"/>
          <w:rtl/>
        </w:rPr>
        <w:t>5. قبل التوقيع: حدّد المخرجات المطلوبة كتابةً (تقرير إدارة شهري، موازنة وتوقعات، توقعات نقدية لـ 13 أسبوعاً، مذكرات قرار).</w:t>
      </w:r>
    </w:p>
    <w:p>
      <w:pPr>
        <w:bidi/>
        <w:spacing w:after="60"/>
      </w:pPr>
      <w:r>
        <w:rPr>
          <w:rFonts w:ascii="Arial" w:hAnsi="Arial" w:cs="Arial" w:eastAsia="Arial"/>
          <w:b w:val="0"/>
          <w:color w:val="111111"/>
          <w:sz w:val="19"/>
          <w:szCs w:val="19"/>
          <w:rtl/>
        </w:rPr>
        <w:t>حدود الدرجات قاعدة عملية من الخبرة وليست إحصاءً سوقياً.</w:t>
      </w:r>
    </w:p>
    <w:p>
      <w:pPr>
        <w:pBdr>
          <w:bottom w:val="single" w:sz="6" w:space="2" w:color="CC1923"/>
        </w:pBdr>
        <w:spacing w:before="200"/>
      </w:pPr>
    </w:p>
    <w:p>
      <w:pPr>
        <w:spacing w:after="80"/>
      </w:pPr>
      <w:r>
        <w:rPr>
          <w:rFonts w:ascii="Arial" w:hAnsi="Arial" w:cs="Arial" w:eastAsia="Arial"/>
          <w:b/>
          <w:bCs/>
          <w:i w:val="0"/>
          <w:color w:val="555555"/>
          <w:sz w:val="17"/>
          <w:szCs w:val="17"/>
        </w:rPr>
        <w:t>Axcell Financial Consulting</w:t>
      </w:r>
      <w:r>
        <w:rPr>
          <w:rFonts w:ascii="Arial" w:hAnsi="Arial" w:cs="Arial" w:eastAsia="Arial"/>
          <w:i w:val="0"/>
          <w:color w:val="555555"/>
          <w:sz w:val="17"/>
          <w:szCs w:val="17"/>
        </w:rPr>
        <w:t xml:space="preserve">  ·  axcellservice.com · Free template · Book a free 30-minute consultation: axcellservice.com/contact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77" w:bottom="850" w:left="1077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clear" w:pos="9360"/>
        <w:tab w:val="clear" w:pos="4680"/>
        <w:tab w:pos="9752" w:val="right"/>
      </w:tabs>
      <w:spacing w:after="0"/>
    </w:pPr>
    <w:r>
      <w:rPr>
        <w:rFonts w:ascii="Arial" w:hAnsi="Arial" w:cs="Arial" w:eastAsia="Arial"/>
        <w:color w:val="555555"/>
        <w:sz w:val="15"/>
        <w:szCs w:val="15"/>
      </w:rPr>
      <w:t>axcellservice.com · Free template · Book a free 30-minute consultation: axcellservice.com/contact</w:t>
    </w:r>
    <w:r>
      <w:rPr>
        <w:rFonts w:ascii="Arial" w:hAnsi="Arial" w:cs="Arial" w:eastAsia="Arial"/>
        <w:color w:val="555555"/>
        <w:sz w:val="15"/>
        <w:szCs w:val="15"/>
      </w:rPr>
      <w:tab/>
      <w:t xml:space="preserve">Page </w:t>
    </w:r>
    <w:r>
      <w:rPr>
        <w:rFonts w:ascii="Arial" w:hAnsi="Arial" w:cs="Arial" w:eastAsia="Arial"/>
        <w:color w:val="555555"/>
        <w:sz w:val="15"/>
        <w:szCs w:val="15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8" w:space="4" w:color="CC1923"/>
      </w:pBdr>
      <w:tabs>
        <w:tab w:val="clear" w:pos="9360"/>
        <w:tab w:val="clear" w:pos="4680"/>
        <w:tab w:pos="9752" w:val="right"/>
      </w:tabs>
      <w:spacing w:after="0"/>
    </w:pPr>
    <w:r>
      <w:drawing>
        <wp:inline xmlns:a="http://schemas.openxmlformats.org/drawingml/2006/main" xmlns:pic="http://schemas.openxmlformats.org/drawingml/2006/picture">
          <wp:extent cx="616689" cy="27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xcell_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6689" cy="27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/>
        <w:bCs/>
        <w:color w:val="111111"/>
        <w:sz w:val="18"/>
        <w:szCs w:val="18"/>
      </w:rPr>
      <w:t xml:space="preserve">  Axcell Financial Consulting</w:t>
    </w:r>
    <w:r>
      <w:rPr>
        <w:rFonts w:ascii="Arial" w:hAnsi="Arial" w:cs="Arial" w:eastAsia="Arial"/>
        <w:color w:val="555555"/>
        <w:sz w:val="16"/>
        <w:szCs w:val="16"/>
      </w:rPr>
      <w:tab/>
      <w:t>Fractional CFO Decision Scorecard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cs="Arial" w:eastAsia="Arial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Arial" w:hAnsi="Arial" w:cs="Arial" w:eastAsia="Arial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You Need a CFO? Decision Scorecard</dc:title>
  <dc:subject>Owner decision tool: nothing new vs finance manager vs fractional CFO vs full-time CFO</dc:subject>
  <dc:creator>Axcell Financial Consulting</dc:creator>
  <cp:keywords>fractional CFO, finance manager, controller, decision framework, SME</cp:keywords>
  <dc:description>Free template from axcellservice.com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